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7907D">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黑体" w:hAnsi="黑体" w:eastAsia="黑体" w:cs="黑体"/>
          <w:color w:val="auto"/>
          <w:spacing w:val="-20"/>
          <w:kern w:val="0"/>
          <w:sz w:val="32"/>
          <w:szCs w:val="32"/>
          <w:lang w:val="en-US" w:eastAsia="zh-CN" w:bidi="ar"/>
        </w:rPr>
      </w:pPr>
      <w:r>
        <w:rPr>
          <w:rFonts w:hint="eastAsia" w:ascii="黑体" w:hAnsi="黑体" w:eastAsia="黑体" w:cs="黑体"/>
          <w:color w:val="auto"/>
          <w:spacing w:val="-20"/>
          <w:kern w:val="0"/>
          <w:sz w:val="32"/>
          <w:szCs w:val="32"/>
          <w:lang w:val="en-US" w:eastAsia="zh-CN" w:bidi="ar"/>
        </w:rPr>
        <w:t>附件2</w:t>
      </w:r>
    </w:p>
    <w:p w14:paraId="1BD48072">
      <w:pPr>
        <w:keepNext w:val="0"/>
        <w:keepLines w:val="0"/>
        <w:pageBreakBefore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color w:val="auto"/>
          <w:spacing w:val="-20"/>
          <w:kern w:val="0"/>
          <w:sz w:val="32"/>
          <w:szCs w:val="32"/>
          <w:lang w:val="en-US" w:eastAsia="zh-CN" w:bidi="ar"/>
        </w:rPr>
      </w:pPr>
    </w:p>
    <w:p w14:paraId="7E7712E7">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20"/>
          <w:kern w:val="0"/>
          <w:sz w:val="44"/>
          <w:szCs w:val="44"/>
          <w:lang w:bidi="ar"/>
        </w:rPr>
      </w:pPr>
      <w:r>
        <w:rPr>
          <w:rFonts w:hint="eastAsia" w:ascii="方正小标宋简体" w:hAnsi="方正小标宋简体" w:eastAsia="方正小标宋简体" w:cs="方正小标宋简体"/>
          <w:color w:val="auto"/>
          <w:spacing w:val="-20"/>
          <w:kern w:val="0"/>
          <w:sz w:val="44"/>
          <w:szCs w:val="44"/>
          <w:lang w:bidi="ar"/>
        </w:rPr>
        <w:t>南丹县有色金属人力资源服务产业分园</w:t>
      </w:r>
    </w:p>
    <w:p w14:paraId="440907A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20"/>
          <w:kern w:val="0"/>
          <w:sz w:val="44"/>
          <w:szCs w:val="44"/>
          <w:lang w:bidi="ar"/>
        </w:rPr>
      </w:pPr>
      <w:r>
        <w:rPr>
          <w:rFonts w:hint="eastAsia" w:ascii="方正小标宋简体" w:hAnsi="方正小标宋简体" w:eastAsia="方正小标宋简体" w:cs="方正小标宋简体"/>
          <w:color w:val="auto"/>
          <w:spacing w:val="-20"/>
          <w:kern w:val="0"/>
          <w:sz w:val="44"/>
          <w:szCs w:val="44"/>
          <w:lang w:bidi="ar"/>
        </w:rPr>
        <w:t>管理办法（试行）</w:t>
      </w:r>
    </w:p>
    <w:p w14:paraId="1A92DDD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rPr>
      </w:pPr>
    </w:p>
    <w:p w14:paraId="5E38393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宋体" w:eastAsia="黑体" w:cs="黑体"/>
          <w:color w:val="auto"/>
          <w:sz w:val="32"/>
          <w:szCs w:val="32"/>
          <w:shd w:val="clear" w:color="auto" w:fill="FFFFFF"/>
        </w:rPr>
      </w:pPr>
      <w:r>
        <w:rPr>
          <w:rFonts w:ascii="黑体" w:hAnsi="宋体" w:eastAsia="黑体" w:cs="黑体"/>
          <w:color w:val="auto"/>
          <w:sz w:val="32"/>
          <w:szCs w:val="32"/>
          <w:shd w:val="clear" w:color="auto" w:fill="FFFFFF"/>
        </w:rPr>
        <w:t>第一章</w:t>
      </w:r>
      <w:r>
        <w:rPr>
          <w:rFonts w:hint="eastAsia" w:ascii="黑体" w:hAnsi="宋体" w:eastAsia="黑体" w:cs="黑体"/>
          <w:color w:val="auto"/>
          <w:sz w:val="32"/>
          <w:szCs w:val="32"/>
          <w:shd w:val="clear" w:color="auto" w:fill="FFFFFF"/>
        </w:rPr>
        <w:t xml:space="preserve">  总则</w:t>
      </w:r>
    </w:p>
    <w:p w14:paraId="785C9397">
      <w:pPr>
        <w:pStyle w:val="5"/>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color w:val="auto"/>
          <w:sz w:val="32"/>
          <w:szCs w:val="32"/>
        </w:rPr>
      </w:pPr>
      <w:r>
        <w:rPr>
          <w:rFonts w:hint="eastAsia" w:ascii="黑体" w:hAnsi="宋体" w:eastAsia="黑体" w:cs="黑体"/>
          <w:color w:val="auto"/>
          <w:sz w:val="32"/>
          <w:szCs w:val="32"/>
          <w:shd w:val="clear" w:color="auto" w:fill="FFFFFF"/>
        </w:rPr>
        <w:t xml:space="preserve">第一条  </w:t>
      </w:r>
      <w:r>
        <w:rPr>
          <w:rFonts w:hint="eastAsia" w:ascii="仿宋_GB2312" w:hAnsi="微软雅黑" w:eastAsia="仿宋_GB2312" w:cs="仿宋_GB2312"/>
          <w:color w:val="auto"/>
          <w:sz w:val="32"/>
          <w:szCs w:val="32"/>
          <w:shd w:val="clear" w:color="auto" w:fill="FFFFFF"/>
        </w:rPr>
        <w:t>为深入学习贯彻习近平新时代中国特色社会主义思想，认真落实中央、自治区、</w:t>
      </w:r>
      <w:r>
        <w:rPr>
          <w:rFonts w:hint="eastAsia" w:ascii="仿宋_GB2312" w:hAnsi="微软雅黑" w:eastAsia="仿宋_GB2312" w:cs="仿宋_GB2312"/>
          <w:color w:val="auto"/>
          <w:sz w:val="32"/>
          <w:szCs w:val="32"/>
          <w:shd w:val="clear" w:color="auto" w:fill="FFFFFF"/>
          <w:lang w:val="en-US" w:eastAsia="zh-CN"/>
        </w:rPr>
        <w:t>河池</w:t>
      </w:r>
      <w:r>
        <w:rPr>
          <w:rFonts w:hint="eastAsia" w:ascii="仿宋_GB2312" w:hAnsi="微软雅黑" w:eastAsia="仿宋_GB2312" w:cs="仿宋_GB2312"/>
          <w:color w:val="auto"/>
          <w:sz w:val="32"/>
          <w:szCs w:val="32"/>
          <w:shd w:val="clear" w:color="auto" w:fill="FFFFFF"/>
        </w:rPr>
        <w:t>市关于加快发展人力资源服务业的要求，突出园区服务就业优先战略和人才强区战略功能，促进人力资源服务专业化、信息化、产业化发展，提高南丹县有色金属产业人力资源服务分园促进社会经济发展能力，经研究制定本办法。</w:t>
      </w:r>
    </w:p>
    <w:p w14:paraId="617EF8B7">
      <w:pPr>
        <w:pStyle w:val="5"/>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eastAsia="仿宋_GB2312"/>
          <w:color w:val="auto"/>
          <w:sz w:val="32"/>
          <w:szCs w:val="32"/>
        </w:rPr>
      </w:pPr>
      <w:r>
        <w:rPr>
          <w:rFonts w:hint="eastAsia" w:ascii="黑体" w:hAnsi="宋体" w:eastAsia="黑体" w:cs="黑体"/>
          <w:color w:val="auto"/>
          <w:sz w:val="32"/>
          <w:szCs w:val="32"/>
          <w:shd w:val="clear" w:color="auto" w:fill="FFFFFF"/>
        </w:rPr>
        <w:t>第二条</w:t>
      </w:r>
      <w:r>
        <w:rPr>
          <w:rFonts w:hint="eastAsia" w:ascii="Times New Roman" w:hAnsi="Times New Roman" w:eastAsia="微软雅黑"/>
          <w:color w:val="auto"/>
          <w:sz w:val="32"/>
          <w:szCs w:val="32"/>
          <w:shd w:val="clear" w:color="auto" w:fill="FFFFFF"/>
        </w:rPr>
        <w:t xml:space="preserve">  </w:t>
      </w:r>
      <w:r>
        <w:rPr>
          <w:rFonts w:hint="eastAsia" w:ascii="仿宋_GB2312" w:hAnsi="微软雅黑" w:eastAsia="仿宋_GB2312" w:cs="仿宋_GB2312"/>
          <w:color w:val="auto"/>
          <w:sz w:val="32"/>
          <w:szCs w:val="32"/>
          <w:shd w:val="clear" w:color="auto" w:fill="FFFFFF"/>
        </w:rPr>
        <w:t>按照市场主导、政府推动、科学规划、政策扶持、信息共享、分步推进的工作思路，采取</w:t>
      </w:r>
      <w:r>
        <w:rPr>
          <w:rFonts w:hint="eastAsia" w:ascii="仿宋_GB2312" w:hAnsi="微软雅黑" w:eastAsia="仿宋_GB2312" w:cs="仿宋_GB2312"/>
          <w:color w:val="auto"/>
          <w:sz w:val="32"/>
          <w:szCs w:val="32"/>
          <w:shd w:val="clear" w:color="auto" w:fill="FFFFFF"/>
          <w:lang w:eastAsia="zh-CN"/>
        </w:rPr>
        <w:t>“</w:t>
      </w:r>
      <w:r>
        <w:rPr>
          <w:rFonts w:hint="eastAsia" w:ascii="仿宋_GB2312" w:hAnsi="微软雅黑" w:eastAsia="仿宋_GB2312" w:cs="仿宋_GB2312"/>
          <w:color w:val="auto"/>
          <w:sz w:val="32"/>
          <w:szCs w:val="32"/>
          <w:shd w:val="clear" w:color="auto" w:fill="FFFFFF"/>
        </w:rPr>
        <w:t>政策引导＋政府搭台＋运营外包</w:t>
      </w:r>
      <w:r>
        <w:rPr>
          <w:rFonts w:hint="eastAsia" w:ascii="仿宋_GB2312" w:hAnsi="微软雅黑" w:eastAsia="仿宋_GB2312" w:cs="仿宋_GB2312"/>
          <w:color w:val="auto"/>
          <w:sz w:val="32"/>
          <w:szCs w:val="32"/>
          <w:shd w:val="clear" w:color="auto" w:fill="FFFFFF"/>
          <w:lang w:eastAsia="zh-CN"/>
        </w:rPr>
        <w:t>”</w:t>
      </w:r>
      <w:r>
        <w:rPr>
          <w:rFonts w:hint="eastAsia" w:ascii="仿宋_GB2312" w:hAnsi="微软雅黑" w:eastAsia="仿宋_GB2312" w:cs="仿宋_GB2312"/>
          <w:color w:val="auto"/>
          <w:sz w:val="32"/>
          <w:szCs w:val="32"/>
          <w:shd w:val="clear" w:color="auto" w:fill="FFFFFF"/>
        </w:rPr>
        <w:t>模式，委托第三方有实力、有成熟市场运作能力的人力资源服务机构承担产业园运营管理。</w:t>
      </w:r>
    </w:p>
    <w:p w14:paraId="3E0E9D7F">
      <w:pPr>
        <w:pStyle w:val="5"/>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color w:val="auto"/>
          <w:sz w:val="32"/>
          <w:szCs w:val="32"/>
        </w:rPr>
      </w:pPr>
      <w:r>
        <w:rPr>
          <w:rFonts w:hint="eastAsia" w:ascii="黑体" w:hAnsi="宋体" w:eastAsia="黑体" w:cs="黑体"/>
          <w:color w:val="auto"/>
          <w:sz w:val="32"/>
          <w:szCs w:val="32"/>
          <w:shd w:val="clear" w:color="auto" w:fill="FFFFFF"/>
        </w:rPr>
        <w:t xml:space="preserve">第三条  </w:t>
      </w:r>
      <w:r>
        <w:rPr>
          <w:rFonts w:hint="eastAsia" w:ascii="仿宋_GB2312" w:hAnsi="微软雅黑" w:eastAsia="仿宋_GB2312" w:cs="仿宋_GB2312"/>
          <w:color w:val="auto"/>
          <w:sz w:val="32"/>
          <w:szCs w:val="32"/>
          <w:shd w:val="clear" w:color="auto" w:fill="FFFFFF"/>
        </w:rPr>
        <w:t>南丹县有色金属产业人力资源服务分园</w:t>
      </w:r>
      <w:r>
        <w:rPr>
          <w:rFonts w:hint="eastAsia" w:ascii="仿宋_GB2312" w:hAnsi="仿宋_GB2312" w:eastAsia="仿宋_GB2312" w:cs="仿宋_GB2312"/>
          <w:color w:val="auto"/>
          <w:sz w:val="32"/>
          <w:szCs w:val="32"/>
        </w:rPr>
        <w:t>立足产业基础和发展需求实际，</w:t>
      </w:r>
      <w:r>
        <w:rPr>
          <w:rFonts w:hint="eastAsia" w:ascii="仿宋_GB2312" w:hAnsi="微软雅黑" w:eastAsia="仿宋_GB2312" w:cs="仿宋_GB2312"/>
          <w:color w:val="auto"/>
          <w:sz w:val="32"/>
          <w:szCs w:val="32"/>
          <w:shd w:val="clear" w:color="auto" w:fill="FFFFFF"/>
        </w:rPr>
        <w:t>充分发挥人力资源服务园区的聚集优势，挖掘各行业人才的市场潜力，带动南丹县人才引进、培养、开发、使用为一体的链式发展，实现高效精准的人才供给，</w:t>
      </w:r>
      <w:r>
        <w:rPr>
          <w:rFonts w:hint="eastAsia" w:ascii="仿宋_GB2312" w:hAnsi="仿宋_GB2312" w:eastAsia="仿宋_GB2312" w:cs="仿宋_GB2312"/>
          <w:color w:val="auto"/>
          <w:sz w:val="32"/>
          <w:szCs w:val="32"/>
          <w14:ligatures w14:val="standardContextual"/>
        </w:rPr>
        <w:t>为南丹县高质量发展提供人力资源支撑。</w:t>
      </w:r>
    </w:p>
    <w:p w14:paraId="7F0BE25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宋体" w:eastAsia="黑体" w:cs="黑体"/>
          <w:color w:val="auto"/>
          <w:sz w:val="32"/>
          <w:szCs w:val="32"/>
          <w:shd w:val="clear" w:color="auto" w:fill="FFFFFF"/>
        </w:rPr>
      </w:pPr>
      <w:r>
        <w:rPr>
          <w:rFonts w:hint="eastAsia" w:ascii="黑体" w:hAnsi="宋体" w:eastAsia="黑体" w:cs="黑体"/>
          <w:color w:val="auto"/>
          <w:sz w:val="32"/>
          <w:szCs w:val="32"/>
          <w:shd w:val="clear" w:color="auto" w:fill="FFFFFF"/>
        </w:rPr>
        <w:t xml:space="preserve">第四条  </w:t>
      </w:r>
      <w:r>
        <w:rPr>
          <w:rFonts w:hint="eastAsia" w:ascii="仿宋_GB2312" w:hAnsi="微软雅黑" w:eastAsia="仿宋_GB2312" w:cs="仿宋_GB2312"/>
          <w:color w:val="auto"/>
          <w:sz w:val="32"/>
          <w:szCs w:val="32"/>
          <w:shd w:val="clear" w:color="auto" w:fill="FFFFFF"/>
        </w:rPr>
        <w:t>本办法适用于南丹县有色金属产业人力资源服务分园（以下</w:t>
      </w:r>
      <w:r>
        <w:rPr>
          <w:rFonts w:hint="eastAsia" w:ascii="仿宋_GB2312" w:hAnsi="微软雅黑" w:eastAsia="仿宋_GB2312" w:cs="仿宋_GB2312"/>
          <w:color w:val="auto"/>
          <w:sz w:val="32"/>
          <w:szCs w:val="32"/>
          <w:shd w:val="clear" w:color="auto" w:fill="FFFFFF"/>
          <w:lang w:eastAsia="zh-CN"/>
        </w:rPr>
        <w:t>简称</w:t>
      </w:r>
      <w:r>
        <w:rPr>
          <w:rFonts w:hint="eastAsia" w:ascii="仿宋_GB2312" w:hAnsi="微软雅黑" w:eastAsia="仿宋_GB2312" w:cs="仿宋_GB2312"/>
          <w:color w:val="auto"/>
          <w:sz w:val="32"/>
          <w:szCs w:val="32"/>
          <w:shd w:val="clear" w:color="auto" w:fill="FFFFFF"/>
        </w:rPr>
        <w:t>“产业园”），该产业园是以市、县共建模式打造，设在南丹县城区内。</w:t>
      </w:r>
    </w:p>
    <w:p w14:paraId="18AF834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宋体" w:eastAsia="黑体" w:cs="黑体"/>
          <w:color w:val="auto"/>
          <w:sz w:val="32"/>
          <w:szCs w:val="32"/>
          <w:shd w:val="clear" w:color="auto" w:fill="FFFFFF"/>
        </w:rPr>
      </w:pPr>
      <w:r>
        <w:rPr>
          <w:rFonts w:hint="eastAsia" w:ascii="黑体" w:hAnsi="宋体" w:eastAsia="黑体" w:cs="黑体"/>
          <w:color w:val="auto"/>
          <w:sz w:val="32"/>
          <w:szCs w:val="32"/>
          <w:shd w:val="clear" w:color="auto" w:fill="FFFFFF"/>
        </w:rPr>
        <w:t>第二章  管理机构及职责</w:t>
      </w:r>
    </w:p>
    <w:p w14:paraId="006B8A5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黑体" w:hAnsi="宋体" w:eastAsia="黑体" w:cs="黑体"/>
          <w:color w:val="auto"/>
          <w:sz w:val="32"/>
          <w:szCs w:val="32"/>
          <w:shd w:val="clear" w:color="auto" w:fill="FFFFFF"/>
        </w:rPr>
        <w:t xml:space="preserve">第五条  </w:t>
      </w:r>
      <w:r>
        <w:rPr>
          <w:rFonts w:hint="eastAsia" w:ascii="仿宋_GB2312" w:hAnsi="微软雅黑" w:eastAsia="仿宋_GB2312" w:cs="仿宋_GB2312"/>
          <w:color w:val="auto"/>
          <w:kern w:val="0"/>
          <w:sz w:val="32"/>
          <w:szCs w:val="32"/>
          <w:shd w:val="clear" w:color="auto" w:fill="FFFFFF"/>
        </w:rPr>
        <w:t>南丹县人力资源和社会保障局是产业园的直接管理机构，负责统筹实施产业园建设和管理，推进产业园建设和发展的各项工作。具体职责为：</w:t>
      </w:r>
    </w:p>
    <w:p w14:paraId="47BC83C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1</w:t>
      </w:r>
      <w:r>
        <w:rPr>
          <w:rFonts w:hint="eastAsia" w:ascii="仿宋_GB2312" w:hAnsi="微软雅黑" w:eastAsia="仿宋_GB2312" w:cs="仿宋_GB2312"/>
          <w:color w:val="auto"/>
          <w:kern w:val="0"/>
          <w:sz w:val="32"/>
          <w:szCs w:val="32"/>
          <w:shd w:val="clear" w:color="auto" w:fill="FFFFFF"/>
        </w:rPr>
        <w:t>.落实国家有关法律、法规，执行上级有关发展人力资源服务产业的方针政策。</w:t>
      </w:r>
    </w:p>
    <w:p w14:paraId="2B3ED04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2</w:t>
      </w:r>
      <w:r>
        <w:rPr>
          <w:rFonts w:hint="eastAsia" w:ascii="仿宋_GB2312" w:hAnsi="微软雅黑" w:eastAsia="仿宋_GB2312" w:cs="仿宋_GB2312"/>
          <w:color w:val="auto"/>
          <w:kern w:val="0"/>
          <w:sz w:val="32"/>
          <w:szCs w:val="32"/>
          <w:shd w:val="clear" w:color="auto" w:fill="FFFFFF"/>
        </w:rPr>
        <w:t>.研究制定产业园整体规划及配套扶持政策，分解落实上级有关要求及考核指标任务。</w:t>
      </w:r>
    </w:p>
    <w:p w14:paraId="31E7CB8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3</w:t>
      </w:r>
      <w:r>
        <w:rPr>
          <w:rFonts w:hint="eastAsia" w:ascii="仿宋_GB2312" w:hAnsi="微软雅黑" w:eastAsia="仿宋_GB2312" w:cs="仿宋_GB2312"/>
          <w:color w:val="auto"/>
          <w:kern w:val="0"/>
          <w:sz w:val="32"/>
          <w:szCs w:val="32"/>
          <w:shd w:val="clear" w:color="auto" w:fill="FFFFFF"/>
        </w:rPr>
        <w:t>.指导产业园项目招商、业态结构调整、产值指标提升等。</w:t>
      </w:r>
    </w:p>
    <w:p w14:paraId="43A085C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4</w:t>
      </w:r>
      <w:r>
        <w:rPr>
          <w:rFonts w:hint="eastAsia" w:ascii="仿宋_GB2312" w:hAnsi="微软雅黑" w:eastAsia="仿宋_GB2312" w:cs="仿宋_GB2312"/>
          <w:color w:val="auto"/>
          <w:kern w:val="0"/>
          <w:sz w:val="32"/>
          <w:szCs w:val="32"/>
          <w:shd w:val="clear" w:color="auto" w:fill="FFFFFF"/>
        </w:rPr>
        <w:t>.建立健全产业园招商引资、招才引智、工作制度和激励机制，依法为入驻企业和运营公司提供便捷服务，助推经济</w:t>
      </w:r>
      <w:r>
        <w:rPr>
          <w:rFonts w:hint="eastAsia" w:ascii="仿宋_GB2312" w:hAnsi="微软雅黑" w:eastAsia="仿宋_GB2312" w:cs="仿宋_GB2312"/>
          <w:color w:val="auto"/>
          <w:kern w:val="0"/>
          <w:sz w:val="32"/>
          <w:szCs w:val="32"/>
          <w:shd w:val="clear" w:color="auto" w:fill="FFFFFF"/>
          <w:lang w:val="en-US" w:eastAsia="zh-CN"/>
        </w:rPr>
        <w:t>社会</w:t>
      </w:r>
      <w:r>
        <w:rPr>
          <w:rFonts w:hint="eastAsia" w:ascii="仿宋_GB2312" w:hAnsi="微软雅黑" w:eastAsia="仿宋_GB2312" w:cs="仿宋_GB2312"/>
          <w:color w:val="auto"/>
          <w:kern w:val="0"/>
          <w:sz w:val="32"/>
          <w:szCs w:val="32"/>
          <w:shd w:val="clear" w:color="auto" w:fill="FFFFFF"/>
        </w:rPr>
        <w:t>健康协同发展。</w:t>
      </w:r>
    </w:p>
    <w:p w14:paraId="17C114A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5</w:t>
      </w:r>
      <w:r>
        <w:rPr>
          <w:rFonts w:hint="eastAsia" w:ascii="仿宋_GB2312" w:hAnsi="微软雅黑" w:eastAsia="仿宋_GB2312" w:cs="仿宋_GB2312"/>
          <w:color w:val="auto"/>
          <w:kern w:val="0"/>
          <w:sz w:val="32"/>
          <w:szCs w:val="32"/>
          <w:shd w:val="clear" w:color="auto" w:fill="FFFFFF"/>
        </w:rPr>
        <w:t>.制定完善人力资源服务机构和相关组织的准入、退出和考核评估机制，确定入驻资格及办理入驻手续；</w:t>
      </w:r>
    </w:p>
    <w:p w14:paraId="7D6378F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6</w:t>
      </w:r>
      <w:r>
        <w:rPr>
          <w:rFonts w:hint="eastAsia" w:ascii="仿宋_GB2312" w:hAnsi="微软雅黑" w:eastAsia="仿宋_GB2312" w:cs="仿宋_GB2312"/>
          <w:color w:val="auto"/>
          <w:kern w:val="0"/>
          <w:sz w:val="32"/>
          <w:szCs w:val="32"/>
          <w:shd w:val="clear" w:color="auto" w:fill="FFFFFF"/>
        </w:rPr>
        <w:t>.按照程序引进运营服务机构，并按规定对其进行管理、监督、考核、奖惩。</w:t>
      </w:r>
    </w:p>
    <w:p w14:paraId="6E03D41C">
      <w:pPr>
        <w:pStyle w:val="5"/>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微软雅黑"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7</w:t>
      </w:r>
      <w:r>
        <w:rPr>
          <w:rFonts w:hint="eastAsia" w:ascii="仿宋_GB2312" w:hAnsi="微软雅黑" w:eastAsia="仿宋_GB2312" w:cs="仿宋_GB2312"/>
          <w:color w:val="auto"/>
          <w:sz w:val="32"/>
          <w:szCs w:val="32"/>
          <w:shd w:val="clear" w:color="auto" w:fill="FFFFFF"/>
        </w:rPr>
        <w:t>.编制、申请、拨付、管理产业园的相关经费；</w:t>
      </w:r>
    </w:p>
    <w:p w14:paraId="10A444E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8</w:t>
      </w:r>
      <w:r>
        <w:rPr>
          <w:rFonts w:hint="eastAsia" w:ascii="仿宋_GB2312" w:hAnsi="微软雅黑" w:eastAsia="仿宋_GB2312" w:cs="仿宋_GB2312"/>
          <w:color w:val="auto"/>
          <w:kern w:val="0"/>
          <w:sz w:val="32"/>
          <w:szCs w:val="32"/>
          <w:shd w:val="clear" w:color="auto" w:fill="FFFFFF"/>
        </w:rPr>
        <w:t>.其他需要主管部门研究确定事项。</w:t>
      </w:r>
    </w:p>
    <w:p w14:paraId="4003625D">
      <w:pPr>
        <w:pStyle w:val="5"/>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微软雅黑" w:eastAsia="仿宋_GB2312" w:cs="仿宋_GB2312"/>
          <w:color w:val="auto"/>
          <w:sz w:val="32"/>
          <w:szCs w:val="32"/>
          <w:shd w:val="clear" w:color="auto" w:fill="FFFFFF"/>
        </w:rPr>
      </w:pPr>
      <w:r>
        <w:rPr>
          <w:rFonts w:hint="eastAsia" w:ascii="黑体" w:hAnsi="宋体" w:eastAsia="黑体" w:cs="黑体"/>
          <w:color w:val="auto"/>
          <w:sz w:val="32"/>
          <w:szCs w:val="32"/>
          <w:shd w:val="clear" w:color="auto" w:fill="FFFFFF"/>
        </w:rPr>
        <w:t xml:space="preserve">第六条  </w:t>
      </w:r>
      <w:r>
        <w:rPr>
          <w:rFonts w:hint="eastAsia" w:ascii="仿宋_GB2312" w:hAnsi="微软雅黑" w:eastAsia="仿宋_GB2312" w:cs="仿宋_GB2312"/>
          <w:color w:val="auto"/>
          <w:sz w:val="32"/>
          <w:szCs w:val="32"/>
          <w:shd w:val="clear" w:color="auto" w:fill="FFFFFF"/>
        </w:rPr>
        <w:t>产业园相关经费由南丹县人力资源和社会保障局负责</w:t>
      </w:r>
      <w:r>
        <w:rPr>
          <w:rFonts w:hint="eastAsia" w:ascii="仿宋_GB2312" w:hAnsi="微软雅黑" w:eastAsia="仿宋_GB2312" w:cs="仿宋_GB2312"/>
          <w:color w:val="auto"/>
          <w:sz w:val="32"/>
          <w:szCs w:val="32"/>
          <w:shd w:val="clear" w:color="auto" w:fill="FFFFFF"/>
          <w:lang w:val="en-US" w:eastAsia="zh-CN"/>
        </w:rPr>
        <w:t>统筹</w:t>
      </w:r>
      <w:r>
        <w:rPr>
          <w:rFonts w:hint="eastAsia" w:ascii="仿宋_GB2312" w:hAnsi="微软雅黑" w:eastAsia="仿宋_GB2312" w:cs="仿宋_GB2312"/>
          <w:color w:val="auto"/>
          <w:sz w:val="32"/>
          <w:szCs w:val="32"/>
          <w:shd w:val="clear" w:color="auto" w:fill="FFFFFF"/>
        </w:rPr>
        <w:t>管理，按照南丹县人力资源和社会保障局“三重一大”议事决策规则执行，必要时报请县委、县政府研究决定。</w:t>
      </w:r>
    </w:p>
    <w:p w14:paraId="69311AD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黑体" w:hAnsi="宋体" w:eastAsia="黑体" w:cs="黑体"/>
          <w:color w:val="auto"/>
          <w:sz w:val="32"/>
          <w:szCs w:val="32"/>
          <w:shd w:val="clear" w:color="auto" w:fill="FFFFFF"/>
        </w:rPr>
        <w:t xml:space="preserve">第七条  </w:t>
      </w:r>
      <w:r>
        <w:rPr>
          <w:rFonts w:hint="eastAsia" w:ascii="仿宋_GB2312" w:hAnsi="微软雅黑" w:eastAsia="仿宋_GB2312" w:cs="仿宋_GB2312"/>
          <w:color w:val="auto"/>
          <w:kern w:val="0"/>
          <w:sz w:val="32"/>
          <w:szCs w:val="32"/>
          <w:shd w:val="clear" w:color="auto" w:fill="FFFFFF"/>
        </w:rPr>
        <w:t>南丹县人力资源和社会保障局根据工作需要明确产业园负责人并组建工作小组，定期召开产业园</w:t>
      </w:r>
      <w:r>
        <w:rPr>
          <w:rFonts w:hint="eastAsia" w:ascii="仿宋_GB2312" w:hAnsi="微软雅黑" w:eastAsia="仿宋_GB2312" w:cs="仿宋_GB2312"/>
          <w:color w:val="auto"/>
          <w:kern w:val="0"/>
          <w:sz w:val="32"/>
          <w:szCs w:val="32"/>
          <w:shd w:val="clear" w:color="auto" w:fill="FFFFFF"/>
          <w:lang w:val="en-US" w:eastAsia="zh-CN"/>
        </w:rPr>
        <w:t>建设推进</w:t>
      </w:r>
      <w:r>
        <w:rPr>
          <w:rFonts w:hint="eastAsia" w:ascii="仿宋_GB2312" w:hAnsi="微软雅黑" w:eastAsia="仿宋_GB2312" w:cs="仿宋_GB2312"/>
          <w:color w:val="auto"/>
          <w:kern w:val="0"/>
          <w:sz w:val="32"/>
          <w:szCs w:val="32"/>
          <w:shd w:val="clear" w:color="auto" w:fill="FFFFFF"/>
        </w:rPr>
        <w:t>工作会议，研究产业园的日常</w:t>
      </w:r>
      <w:r>
        <w:rPr>
          <w:rFonts w:hint="eastAsia" w:ascii="仿宋_GB2312" w:hAnsi="微软雅黑" w:eastAsia="仿宋_GB2312" w:cs="仿宋_GB2312"/>
          <w:color w:val="auto"/>
          <w:kern w:val="0"/>
          <w:sz w:val="32"/>
          <w:szCs w:val="32"/>
          <w:shd w:val="clear" w:color="auto" w:fill="FFFFFF"/>
          <w:lang w:val="en-US" w:eastAsia="zh-CN"/>
        </w:rPr>
        <w:t>运行</w:t>
      </w:r>
      <w:r>
        <w:rPr>
          <w:rFonts w:hint="eastAsia" w:ascii="仿宋_GB2312" w:hAnsi="微软雅黑" w:eastAsia="仿宋_GB2312" w:cs="仿宋_GB2312"/>
          <w:color w:val="auto"/>
          <w:kern w:val="0"/>
          <w:sz w:val="32"/>
          <w:szCs w:val="32"/>
          <w:shd w:val="clear" w:color="auto" w:fill="FFFFFF"/>
        </w:rPr>
        <w:t>工作。</w:t>
      </w:r>
      <w:bookmarkStart w:id="0" w:name="_GoBack"/>
      <w:bookmarkEnd w:id="0"/>
    </w:p>
    <w:p w14:paraId="035D063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宋体" w:eastAsia="黑体" w:cs="黑体"/>
          <w:color w:val="auto"/>
          <w:sz w:val="32"/>
          <w:szCs w:val="32"/>
          <w:shd w:val="clear" w:color="auto" w:fill="FFFFFF"/>
        </w:rPr>
      </w:pPr>
      <w:r>
        <w:rPr>
          <w:rFonts w:hint="eastAsia" w:ascii="黑体" w:hAnsi="宋体" w:eastAsia="黑体" w:cs="黑体"/>
          <w:color w:val="auto"/>
          <w:sz w:val="32"/>
          <w:szCs w:val="32"/>
          <w:shd w:val="clear" w:color="auto" w:fill="FFFFFF"/>
        </w:rPr>
        <w:t>第三章  运营服务机构及职责</w:t>
      </w:r>
    </w:p>
    <w:p w14:paraId="13B4847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黑体" w:hAnsi="宋体" w:eastAsia="黑体" w:cs="黑体"/>
          <w:color w:val="auto"/>
          <w:sz w:val="32"/>
          <w:szCs w:val="32"/>
          <w:shd w:val="clear" w:color="auto" w:fill="FFFFFF"/>
        </w:rPr>
        <w:t xml:space="preserve">第八条  </w:t>
      </w:r>
      <w:r>
        <w:rPr>
          <w:rFonts w:hint="eastAsia" w:ascii="仿宋_GB2312" w:hAnsi="微软雅黑" w:eastAsia="仿宋_GB2312" w:cs="仿宋_GB2312"/>
          <w:color w:val="auto"/>
          <w:kern w:val="0"/>
          <w:sz w:val="32"/>
          <w:szCs w:val="32"/>
          <w:shd w:val="clear" w:color="auto" w:fill="FFFFFF"/>
        </w:rPr>
        <w:t>南丹县有色金属产业人力资源服务分园由第三方运营公司（以下简称运营公司）承接运营及管理工作。由南丹县人力资源和社会保障局负责对运营公司</w:t>
      </w:r>
      <w:r>
        <w:rPr>
          <w:rFonts w:hint="eastAsia" w:ascii="仿宋_GB2312" w:hAnsi="微软雅黑" w:eastAsia="仿宋_GB2312" w:cs="仿宋_GB2312"/>
          <w:color w:val="auto"/>
          <w:kern w:val="0"/>
          <w:sz w:val="32"/>
          <w:szCs w:val="32"/>
          <w:shd w:val="clear" w:color="auto" w:fill="FFFFFF"/>
          <w:lang w:val="en-US" w:eastAsia="zh-CN"/>
        </w:rPr>
        <w:t>进</w:t>
      </w:r>
      <w:r>
        <w:rPr>
          <w:rFonts w:hint="eastAsia" w:ascii="仿宋_GB2312" w:hAnsi="微软雅黑" w:eastAsia="仿宋_GB2312" w:cs="仿宋_GB2312"/>
          <w:color w:val="auto"/>
          <w:kern w:val="0"/>
          <w:sz w:val="32"/>
          <w:szCs w:val="32"/>
          <w:shd w:val="clear" w:color="auto" w:fill="FFFFFF"/>
        </w:rPr>
        <w:t>行日常监管。具体职责为：</w:t>
      </w:r>
    </w:p>
    <w:p w14:paraId="4AD2FD9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1</w:t>
      </w:r>
      <w:r>
        <w:rPr>
          <w:rFonts w:hint="eastAsia" w:ascii="仿宋_GB2312" w:hAnsi="微软雅黑" w:eastAsia="仿宋_GB2312" w:cs="仿宋_GB2312"/>
          <w:color w:val="auto"/>
          <w:kern w:val="0"/>
          <w:sz w:val="32"/>
          <w:szCs w:val="32"/>
          <w:shd w:val="clear" w:color="auto" w:fill="FFFFFF"/>
        </w:rPr>
        <w:t>.执行主管部门制定的产业园管理办法与产业发展规划，为人力资源服务机构的发展创造良好环境。</w:t>
      </w:r>
    </w:p>
    <w:p w14:paraId="408A6E0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2</w:t>
      </w:r>
      <w:r>
        <w:rPr>
          <w:rFonts w:hint="eastAsia" w:ascii="仿宋_GB2312" w:hAnsi="微软雅黑" w:eastAsia="仿宋_GB2312" w:cs="仿宋_GB2312"/>
          <w:color w:val="auto"/>
          <w:kern w:val="0"/>
          <w:sz w:val="32"/>
          <w:szCs w:val="32"/>
          <w:shd w:val="clear" w:color="auto" w:fill="FFFFFF"/>
        </w:rPr>
        <w:t>.负责产业园招商引资工作，做好</w:t>
      </w:r>
      <w:r>
        <w:rPr>
          <w:rFonts w:hint="eastAsia" w:ascii="仿宋_GB2312" w:hAnsi="微软雅黑" w:eastAsia="仿宋_GB2312" w:cs="仿宋_GB2312"/>
          <w:color w:val="auto"/>
          <w:kern w:val="0"/>
          <w:sz w:val="32"/>
          <w:szCs w:val="32"/>
          <w:shd w:val="clear" w:color="auto" w:fill="FFFFFF"/>
          <w:lang w:val="en-US" w:eastAsia="zh-CN"/>
        </w:rPr>
        <w:t>申请</w:t>
      </w:r>
      <w:r>
        <w:rPr>
          <w:rFonts w:hint="eastAsia" w:ascii="仿宋_GB2312" w:hAnsi="微软雅黑" w:eastAsia="仿宋_GB2312" w:cs="仿宋_GB2312"/>
          <w:color w:val="auto"/>
          <w:kern w:val="0"/>
          <w:sz w:val="32"/>
          <w:szCs w:val="32"/>
          <w:shd w:val="clear" w:color="auto" w:fill="FFFFFF"/>
        </w:rPr>
        <w:t>入驻企业</w:t>
      </w:r>
      <w:r>
        <w:rPr>
          <w:rFonts w:hint="eastAsia" w:ascii="仿宋_GB2312" w:hAnsi="微软雅黑" w:eastAsia="仿宋_GB2312" w:cs="仿宋_GB2312"/>
          <w:color w:val="auto"/>
          <w:kern w:val="0"/>
          <w:sz w:val="32"/>
          <w:szCs w:val="32"/>
          <w:shd w:val="clear" w:color="auto" w:fill="FFFFFF"/>
          <w:lang w:val="en-US" w:eastAsia="zh-CN"/>
        </w:rPr>
        <w:t>的</w:t>
      </w:r>
      <w:r>
        <w:rPr>
          <w:rFonts w:hint="eastAsia" w:ascii="仿宋_GB2312" w:hAnsi="微软雅黑" w:eastAsia="仿宋_GB2312" w:cs="仿宋_GB2312"/>
          <w:color w:val="auto"/>
          <w:kern w:val="0"/>
          <w:sz w:val="32"/>
          <w:szCs w:val="32"/>
          <w:shd w:val="clear" w:color="auto" w:fill="FFFFFF"/>
        </w:rPr>
        <w:t>准入筛选和审核</w:t>
      </w:r>
      <w:r>
        <w:rPr>
          <w:rFonts w:hint="eastAsia" w:ascii="仿宋_GB2312" w:hAnsi="微软雅黑" w:eastAsia="仿宋_GB2312" w:cs="仿宋_GB2312"/>
          <w:color w:val="auto"/>
          <w:kern w:val="0"/>
          <w:sz w:val="32"/>
          <w:szCs w:val="32"/>
          <w:shd w:val="clear" w:color="auto" w:fill="FFFFFF"/>
          <w:lang w:val="en-US" w:eastAsia="zh-CN"/>
        </w:rPr>
        <w:t>工作</w:t>
      </w:r>
      <w:r>
        <w:rPr>
          <w:rFonts w:hint="eastAsia" w:ascii="仿宋_GB2312" w:hAnsi="微软雅黑" w:eastAsia="仿宋_GB2312" w:cs="仿宋_GB2312"/>
          <w:color w:val="auto"/>
          <w:kern w:val="0"/>
          <w:sz w:val="32"/>
          <w:szCs w:val="32"/>
          <w:shd w:val="clear" w:color="auto" w:fill="FFFFFF"/>
        </w:rPr>
        <w:t>，为入驻企业提供工商注册、税务代理、政策申报、信息咨询、法律咨询、金融贷款、孵化培育、品牌推广等相关服务。</w:t>
      </w:r>
    </w:p>
    <w:p w14:paraId="0D4D289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3</w:t>
      </w:r>
      <w:r>
        <w:rPr>
          <w:rFonts w:hint="eastAsia" w:ascii="仿宋_GB2312" w:hAnsi="微软雅黑" w:eastAsia="仿宋_GB2312" w:cs="仿宋_GB2312"/>
          <w:color w:val="auto"/>
          <w:kern w:val="0"/>
          <w:sz w:val="32"/>
          <w:szCs w:val="32"/>
          <w:shd w:val="clear" w:color="auto" w:fill="FFFFFF"/>
        </w:rPr>
        <w:t>.做好入驻企业日常监督考核工作，对产业园内企业进行经营数据统计，包括经营情况、税收、用工情况等。</w:t>
      </w:r>
    </w:p>
    <w:p w14:paraId="3CC720C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4</w:t>
      </w:r>
      <w:r>
        <w:rPr>
          <w:rFonts w:hint="eastAsia" w:ascii="仿宋_GB2312" w:hAnsi="微软雅黑" w:eastAsia="仿宋_GB2312" w:cs="仿宋_GB2312"/>
          <w:color w:val="auto"/>
          <w:kern w:val="0"/>
          <w:sz w:val="32"/>
          <w:szCs w:val="32"/>
          <w:shd w:val="clear" w:color="auto" w:fill="FFFFFF"/>
        </w:rPr>
        <w:t>.定期举办产业园各类活动（含招商推介会、考察交流、供需对接、业务提升、座谈培训、招聘会、联建团建等活动）。</w:t>
      </w:r>
    </w:p>
    <w:p w14:paraId="061A317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5</w:t>
      </w:r>
      <w:r>
        <w:rPr>
          <w:rFonts w:hint="eastAsia" w:ascii="仿宋_GB2312" w:hAnsi="微软雅黑" w:eastAsia="仿宋_GB2312" w:cs="仿宋_GB2312"/>
          <w:color w:val="auto"/>
          <w:kern w:val="0"/>
          <w:sz w:val="32"/>
          <w:szCs w:val="32"/>
          <w:shd w:val="clear" w:color="auto" w:fill="FFFFFF"/>
        </w:rPr>
        <w:t>.做好产业园品牌建设宣传工作，提升产业园知名度与美誉度。</w:t>
      </w:r>
    </w:p>
    <w:p w14:paraId="44A0E62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6</w:t>
      </w:r>
      <w:r>
        <w:rPr>
          <w:rFonts w:hint="eastAsia" w:ascii="仿宋_GB2312" w:hAnsi="微软雅黑" w:eastAsia="仿宋_GB2312" w:cs="仿宋_GB2312"/>
          <w:color w:val="auto"/>
          <w:kern w:val="0"/>
          <w:sz w:val="32"/>
          <w:szCs w:val="32"/>
          <w:shd w:val="clear" w:color="auto" w:fill="FFFFFF"/>
        </w:rPr>
        <w:t>.做好产业园相关接待、考察、调研等工作。</w:t>
      </w:r>
    </w:p>
    <w:p w14:paraId="7380F5C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7</w:t>
      </w:r>
      <w:r>
        <w:rPr>
          <w:rFonts w:hint="eastAsia" w:ascii="仿宋_GB2312" w:hAnsi="微软雅黑" w:eastAsia="仿宋_GB2312" w:cs="仿宋_GB2312"/>
          <w:color w:val="auto"/>
          <w:kern w:val="0"/>
          <w:sz w:val="32"/>
          <w:szCs w:val="32"/>
          <w:shd w:val="clear" w:color="auto" w:fill="FFFFFF"/>
        </w:rPr>
        <w:t>.负责妥善保存各入园企业的申请资料、签订的入园须知、入驻协议书等相关资料，每年汇总存档资料上交主管部门。</w:t>
      </w:r>
    </w:p>
    <w:p w14:paraId="1182864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8</w:t>
      </w:r>
      <w:r>
        <w:rPr>
          <w:rFonts w:hint="eastAsia" w:ascii="仿宋_GB2312" w:hAnsi="微软雅黑" w:eastAsia="仿宋_GB2312" w:cs="仿宋_GB2312"/>
          <w:color w:val="auto"/>
          <w:kern w:val="0"/>
          <w:sz w:val="32"/>
          <w:szCs w:val="32"/>
          <w:shd w:val="clear" w:color="auto" w:fill="FFFFFF"/>
        </w:rPr>
        <w:t>.协助</w:t>
      </w:r>
      <w:r>
        <w:rPr>
          <w:rFonts w:hint="eastAsia" w:ascii="仿宋_GB2312" w:hAnsi="微软雅黑" w:eastAsia="仿宋_GB2312" w:cs="仿宋_GB2312"/>
          <w:color w:val="auto"/>
          <w:kern w:val="0"/>
          <w:sz w:val="32"/>
          <w:szCs w:val="32"/>
          <w:shd w:val="clear" w:color="auto" w:fill="FFFFFF"/>
          <w:lang w:val="en-US" w:eastAsia="zh-CN"/>
        </w:rPr>
        <w:t>做好</w:t>
      </w:r>
      <w:r>
        <w:rPr>
          <w:rFonts w:hint="eastAsia" w:ascii="仿宋_GB2312" w:hAnsi="微软雅黑" w:eastAsia="仿宋_GB2312" w:cs="仿宋_GB2312"/>
          <w:color w:val="auto"/>
          <w:kern w:val="0"/>
          <w:sz w:val="32"/>
          <w:szCs w:val="32"/>
          <w:shd w:val="clear" w:color="auto" w:fill="FFFFFF"/>
        </w:rPr>
        <w:t>物业管理，保障产业园安全有序运行。</w:t>
      </w:r>
    </w:p>
    <w:p w14:paraId="6368A5E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9</w:t>
      </w:r>
      <w:r>
        <w:rPr>
          <w:rFonts w:hint="eastAsia" w:ascii="仿宋_GB2312" w:hAnsi="微软雅黑" w:eastAsia="仿宋_GB2312" w:cs="仿宋_GB2312"/>
          <w:color w:val="auto"/>
          <w:kern w:val="0"/>
          <w:sz w:val="32"/>
          <w:szCs w:val="32"/>
          <w:shd w:val="clear" w:color="auto" w:fill="FFFFFF"/>
        </w:rPr>
        <w:t>.执行主管部门交代的其他事项。</w:t>
      </w:r>
    </w:p>
    <w:p w14:paraId="0F88094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宋体" w:eastAsia="黑体" w:cs="黑体"/>
          <w:color w:val="auto"/>
          <w:kern w:val="0"/>
          <w:sz w:val="32"/>
          <w:szCs w:val="32"/>
          <w:shd w:val="clear" w:color="auto" w:fill="FFFFFF"/>
        </w:rPr>
      </w:pPr>
      <w:r>
        <w:rPr>
          <w:rFonts w:hint="eastAsia" w:ascii="黑体" w:hAnsi="宋体" w:eastAsia="黑体" w:cs="黑体"/>
          <w:color w:val="auto"/>
          <w:sz w:val="32"/>
          <w:szCs w:val="32"/>
          <w:shd w:val="clear" w:color="auto" w:fill="FFFFFF"/>
        </w:rPr>
        <w:t xml:space="preserve">第四章  </w:t>
      </w:r>
      <w:r>
        <w:rPr>
          <w:rFonts w:hint="eastAsia" w:ascii="黑体" w:hAnsi="宋体" w:eastAsia="黑体" w:cs="黑体"/>
          <w:color w:val="auto"/>
          <w:kern w:val="0"/>
          <w:sz w:val="32"/>
          <w:szCs w:val="32"/>
          <w:shd w:val="clear" w:color="auto" w:fill="FFFFFF"/>
        </w:rPr>
        <w:t>入驻对象、流程及管理</w:t>
      </w:r>
    </w:p>
    <w:p w14:paraId="5CBE0F2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黑体" w:hAnsi="宋体" w:eastAsia="黑体" w:cs="黑体"/>
          <w:color w:val="auto"/>
          <w:sz w:val="32"/>
          <w:szCs w:val="32"/>
          <w:shd w:val="clear" w:color="auto" w:fill="FFFFFF"/>
        </w:rPr>
        <w:t xml:space="preserve">第九条  </w:t>
      </w:r>
      <w:r>
        <w:rPr>
          <w:rFonts w:hint="eastAsia" w:ascii="仿宋_GB2312" w:hAnsi="微软雅黑" w:eastAsia="仿宋_GB2312" w:cs="仿宋_GB2312"/>
          <w:color w:val="auto"/>
          <w:kern w:val="0"/>
          <w:sz w:val="32"/>
          <w:szCs w:val="32"/>
          <w:shd w:val="clear" w:color="auto" w:fill="FFFFFF"/>
        </w:rPr>
        <w:t>入驻对象</w:t>
      </w:r>
    </w:p>
    <w:p w14:paraId="609D675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1</w:t>
      </w:r>
      <w:r>
        <w:rPr>
          <w:rFonts w:hint="eastAsia" w:ascii="仿宋_GB2312" w:hAnsi="微软雅黑" w:eastAsia="仿宋_GB2312" w:cs="仿宋_GB2312"/>
          <w:color w:val="auto"/>
          <w:kern w:val="0"/>
          <w:sz w:val="32"/>
          <w:szCs w:val="32"/>
          <w:shd w:val="clear" w:color="auto" w:fill="FFFFFF"/>
        </w:rPr>
        <w:t>.国内外</w:t>
      </w:r>
      <w:r>
        <w:rPr>
          <w:rFonts w:hint="eastAsia" w:ascii="仿宋_GB2312" w:hAnsi="微软雅黑" w:eastAsia="仿宋_GB2312" w:cs="仿宋_GB2312"/>
          <w:color w:val="auto"/>
          <w:kern w:val="0"/>
          <w:sz w:val="32"/>
          <w:szCs w:val="32"/>
          <w:shd w:val="clear" w:color="auto" w:fill="FFFFFF"/>
          <w:lang w:val="en-US" w:eastAsia="zh-CN"/>
        </w:rPr>
        <w:t>具备合法经营资格的</w:t>
      </w:r>
      <w:r>
        <w:rPr>
          <w:rFonts w:hint="eastAsia" w:ascii="仿宋_GB2312" w:hAnsi="微软雅黑" w:eastAsia="仿宋_GB2312" w:cs="仿宋_GB2312"/>
          <w:color w:val="auto"/>
          <w:kern w:val="0"/>
          <w:sz w:val="32"/>
          <w:szCs w:val="32"/>
          <w:shd w:val="clear" w:color="auto" w:fill="FFFFFF"/>
        </w:rPr>
        <w:t>人力资源服务企业。</w:t>
      </w:r>
    </w:p>
    <w:p w14:paraId="21B4CBC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2</w:t>
      </w:r>
      <w:r>
        <w:rPr>
          <w:rFonts w:hint="eastAsia" w:ascii="仿宋_GB2312" w:hAnsi="微软雅黑" w:eastAsia="仿宋_GB2312" w:cs="仿宋_GB2312"/>
          <w:color w:val="auto"/>
          <w:kern w:val="0"/>
          <w:sz w:val="32"/>
          <w:szCs w:val="32"/>
          <w:shd w:val="clear" w:color="auto" w:fill="FFFFFF"/>
        </w:rPr>
        <w:t>.主营人力资源业务及人力资源服务行业上下游企业/创业团队。</w:t>
      </w:r>
    </w:p>
    <w:p w14:paraId="31ED165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黑体" w:hAnsi="宋体" w:eastAsia="黑体" w:cs="黑体"/>
          <w:color w:val="auto"/>
          <w:sz w:val="32"/>
          <w:szCs w:val="32"/>
          <w:shd w:val="clear" w:color="auto" w:fill="FFFFFF"/>
        </w:rPr>
        <w:t xml:space="preserve">第十条  </w:t>
      </w:r>
      <w:r>
        <w:rPr>
          <w:rFonts w:hint="eastAsia" w:ascii="仿宋_GB2312" w:hAnsi="微软雅黑" w:eastAsia="仿宋_GB2312" w:cs="仿宋_GB2312"/>
          <w:color w:val="auto"/>
          <w:kern w:val="0"/>
          <w:sz w:val="32"/>
          <w:szCs w:val="32"/>
          <w:shd w:val="clear" w:color="auto" w:fill="FFFFFF"/>
        </w:rPr>
        <w:t>入驻流程</w:t>
      </w:r>
    </w:p>
    <w:p w14:paraId="75FB98E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1</w:t>
      </w:r>
      <w:r>
        <w:rPr>
          <w:rFonts w:hint="eastAsia" w:ascii="仿宋_GB2312" w:hAnsi="微软雅黑" w:eastAsia="仿宋_GB2312" w:cs="仿宋_GB2312"/>
          <w:color w:val="auto"/>
          <w:kern w:val="0"/>
          <w:sz w:val="32"/>
          <w:szCs w:val="32"/>
          <w:shd w:val="clear" w:color="auto" w:fill="FFFFFF"/>
        </w:rPr>
        <w:t>.申请受理：</w:t>
      </w:r>
      <w:r>
        <w:rPr>
          <w:rFonts w:hint="eastAsia" w:ascii="仿宋_GB2312" w:hAnsi="微软雅黑" w:eastAsia="仿宋_GB2312" w:cs="仿宋_GB2312"/>
          <w:color w:val="auto"/>
          <w:kern w:val="0"/>
          <w:sz w:val="32"/>
          <w:szCs w:val="32"/>
          <w:shd w:val="clear" w:color="auto" w:fill="FFFFFF"/>
          <w:lang w:val="en-US" w:eastAsia="zh-CN"/>
        </w:rPr>
        <w:t>申请</w:t>
      </w:r>
      <w:r>
        <w:rPr>
          <w:rFonts w:hint="eastAsia" w:ascii="仿宋_GB2312" w:hAnsi="微软雅黑" w:eastAsia="仿宋_GB2312" w:cs="仿宋_GB2312"/>
          <w:color w:val="auto"/>
          <w:kern w:val="0"/>
          <w:sz w:val="32"/>
          <w:szCs w:val="32"/>
          <w:shd w:val="clear" w:color="auto" w:fill="FFFFFF"/>
        </w:rPr>
        <w:t>入园企业向运营公司提供以下材料：</w:t>
      </w:r>
    </w:p>
    <w:p w14:paraId="75ED176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w:t>
      </w:r>
      <w:r>
        <w:rPr>
          <w:rFonts w:hint="eastAsia" w:ascii="Times New Roman" w:hAnsi="Times New Roman" w:eastAsia="仿宋_GB2312" w:cs="仿宋_GB2312"/>
          <w:color w:val="auto"/>
          <w:kern w:val="0"/>
          <w:sz w:val="32"/>
          <w:szCs w:val="32"/>
          <w:shd w:val="clear" w:color="auto" w:fill="FFFFFF"/>
        </w:rPr>
        <w:t>1</w:t>
      </w:r>
      <w:r>
        <w:rPr>
          <w:rFonts w:hint="eastAsia" w:ascii="仿宋_GB2312" w:hAnsi="微软雅黑" w:eastAsia="仿宋_GB2312" w:cs="仿宋_GB2312"/>
          <w:color w:val="auto"/>
          <w:kern w:val="0"/>
          <w:sz w:val="32"/>
          <w:szCs w:val="32"/>
          <w:shd w:val="clear" w:color="auto" w:fill="FFFFFF"/>
        </w:rPr>
        <w:t>）入园申请表（含承诺声明）；</w:t>
      </w:r>
    </w:p>
    <w:p w14:paraId="3404BFF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w:t>
      </w:r>
      <w:r>
        <w:rPr>
          <w:rFonts w:hint="eastAsia" w:ascii="Times New Roman" w:hAnsi="Times New Roman" w:eastAsia="仿宋_GB2312" w:cs="仿宋_GB2312"/>
          <w:color w:val="auto"/>
          <w:kern w:val="0"/>
          <w:sz w:val="32"/>
          <w:szCs w:val="32"/>
          <w:shd w:val="clear" w:color="auto" w:fill="FFFFFF"/>
        </w:rPr>
        <w:t>2</w:t>
      </w:r>
      <w:r>
        <w:rPr>
          <w:rFonts w:hint="eastAsia" w:ascii="仿宋_GB2312" w:hAnsi="微软雅黑" w:eastAsia="仿宋_GB2312" w:cs="仿宋_GB2312"/>
          <w:color w:val="auto"/>
          <w:kern w:val="0"/>
          <w:sz w:val="32"/>
          <w:szCs w:val="32"/>
          <w:shd w:val="clear" w:color="auto" w:fill="FFFFFF"/>
        </w:rPr>
        <w:t>）公司章程及项目计划书；</w:t>
      </w:r>
    </w:p>
    <w:p w14:paraId="6709A32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w:t>
      </w:r>
      <w:r>
        <w:rPr>
          <w:rFonts w:hint="eastAsia" w:ascii="Times New Roman" w:hAnsi="Times New Roman" w:eastAsia="仿宋_GB2312" w:cs="仿宋_GB2312"/>
          <w:color w:val="auto"/>
          <w:kern w:val="0"/>
          <w:sz w:val="32"/>
          <w:szCs w:val="32"/>
          <w:shd w:val="clear" w:color="auto" w:fill="FFFFFF"/>
        </w:rPr>
        <w:t>3</w:t>
      </w:r>
      <w:r>
        <w:rPr>
          <w:rFonts w:hint="eastAsia" w:ascii="仿宋_GB2312" w:hAnsi="微软雅黑" w:eastAsia="仿宋_GB2312" w:cs="仿宋_GB2312"/>
          <w:color w:val="auto"/>
          <w:kern w:val="0"/>
          <w:sz w:val="32"/>
          <w:szCs w:val="32"/>
          <w:shd w:val="clear" w:color="auto" w:fill="FFFFFF"/>
        </w:rPr>
        <w:t>）企业法定代表人或股东身份证复印件；</w:t>
      </w:r>
    </w:p>
    <w:p w14:paraId="29EC586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w:t>
      </w:r>
      <w:r>
        <w:rPr>
          <w:rFonts w:hint="eastAsia" w:ascii="Times New Roman" w:hAnsi="Times New Roman" w:eastAsia="仿宋_GB2312" w:cs="仿宋_GB2312"/>
          <w:color w:val="auto"/>
          <w:kern w:val="0"/>
          <w:sz w:val="32"/>
          <w:szCs w:val="32"/>
          <w:shd w:val="clear" w:color="auto" w:fill="FFFFFF"/>
        </w:rPr>
        <w:t>4</w:t>
      </w:r>
      <w:r>
        <w:rPr>
          <w:rFonts w:hint="eastAsia" w:ascii="仿宋_GB2312" w:hAnsi="微软雅黑" w:eastAsia="仿宋_GB2312" w:cs="仿宋_GB2312"/>
          <w:color w:val="auto"/>
          <w:kern w:val="0"/>
          <w:sz w:val="32"/>
          <w:szCs w:val="32"/>
          <w:shd w:val="clear" w:color="auto" w:fill="FFFFFF"/>
        </w:rPr>
        <w:t>）营业执照正副本复印件；</w:t>
      </w:r>
    </w:p>
    <w:p w14:paraId="06BFB49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w:t>
      </w:r>
      <w:r>
        <w:rPr>
          <w:rFonts w:hint="eastAsia" w:ascii="Times New Roman" w:hAnsi="Times New Roman" w:eastAsia="仿宋_GB2312" w:cs="仿宋_GB2312"/>
          <w:color w:val="auto"/>
          <w:kern w:val="0"/>
          <w:sz w:val="32"/>
          <w:szCs w:val="32"/>
          <w:shd w:val="clear" w:color="auto" w:fill="FFFFFF"/>
        </w:rPr>
        <w:t>5</w:t>
      </w:r>
      <w:r>
        <w:rPr>
          <w:rFonts w:hint="eastAsia" w:ascii="仿宋_GB2312" w:hAnsi="微软雅黑" w:eastAsia="仿宋_GB2312" w:cs="仿宋_GB2312"/>
          <w:color w:val="auto"/>
          <w:kern w:val="0"/>
          <w:sz w:val="32"/>
          <w:szCs w:val="32"/>
          <w:shd w:val="clear" w:color="auto" w:fill="FFFFFF"/>
        </w:rPr>
        <w:t>）人力资源服务许可证、劳务派遣经营许可证等专业许可证复印件；</w:t>
      </w:r>
    </w:p>
    <w:p w14:paraId="62E29D6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w:t>
      </w:r>
      <w:r>
        <w:rPr>
          <w:rFonts w:hint="eastAsia" w:ascii="Times New Roman" w:hAnsi="Times New Roman" w:eastAsia="仿宋_GB2312" w:cs="仿宋_GB2312"/>
          <w:color w:val="auto"/>
          <w:kern w:val="0"/>
          <w:sz w:val="32"/>
          <w:szCs w:val="32"/>
          <w:shd w:val="clear" w:color="auto" w:fill="FFFFFF"/>
        </w:rPr>
        <w:t>6</w:t>
      </w:r>
      <w:r>
        <w:rPr>
          <w:rFonts w:hint="eastAsia" w:ascii="仿宋_GB2312" w:hAnsi="微软雅黑" w:eastAsia="仿宋_GB2312" w:cs="仿宋_GB2312"/>
          <w:color w:val="auto"/>
          <w:kern w:val="0"/>
          <w:sz w:val="32"/>
          <w:szCs w:val="32"/>
          <w:shd w:val="clear" w:color="auto" w:fill="FFFFFF"/>
        </w:rPr>
        <w:t>）上一年度或最新季度税务部门出具的缴税情况证明；</w:t>
      </w:r>
    </w:p>
    <w:p w14:paraId="42D9D1D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w:t>
      </w:r>
      <w:r>
        <w:rPr>
          <w:rFonts w:hint="eastAsia" w:ascii="Times New Roman" w:hAnsi="Times New Roman" w:eastAsia="仿宋_GB2312" w:cs="仿宋_GB2312"/>
          <w:color w:val="auto"/>
          <w:kern w:val="0"/>
          <w:sz w:val="32"/>
          <w:szCs w:val="32"/>
          <w:shd w:val="clear" w:color="auto" w:fill="FFFFFF"/>
        </w:rPr>
        <w:t>7</w:t>
      </w:r>
      <w:r>
        <w:rPr>
          <w:rFonts w:hint="eastAsia" w:ascii="仿宋_GB2312" w:hAnsi="微软雅黑" w:eastAsia="仿宋_GB2312" w:cs="仿宋_GB2312"/>
          <w:color w:val="auto"/>
          <w:kern w:val="0"/>
          <w:sz w:val="32"/>
          <w:szCs w:val="32"/>
          <w:shd w:val="clear" w:color="auto" w:fill="FFFFFF"/>
        </w:rPr>
        <w:t>）行业荣誉证明及其他辅佐性资料。</w:t>
      </w:r>
    </w:p>
    <w:p w14:paraId="0B515B1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2</w:t>
      </w:r>
      <w:r>
        <w:rPr>
          <w:rFonts w:hint="eastAsia" w:ascii="仿宋_GB2312" w:hAnsi="微软雅黑" w:eastAsia="仿宋_GB2312" w:cs="仿宋_GB2312"/>
          <w:color w:val="auto"/>
          <w:kern w:val="0"/>
          <w:sz w:val="32"/>
          <w:szCs w:val="32"/>
          <w:shd w:val="clear" w:color="auto" w:fill="FFFFFF"/>
        </w:rPr>
        <w:t>.资格审查：运营公司对提交资料进行审查，形成初步意见。</w:t>
      </w:r>
    </w:p>
    <w:p w14:paraId="370AA34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3</w:t>
      </w:r>
      <w:r>
        <w:rPr>
          <w:rFonts w:hint="eastAsia" w:ascii="仿宋_GB2312" w:hAnsi="微软雅黑" w:eastAsia="仿宋_GB2312" w:cs="仿宋_GB2312"/>
          <w:color w:val="auto"/>
          <w:kern w:val="0"/>
          <w:sz w:val="32"/>
          <w:szCs w:val="32"/>
          <w:shd w:val="clear" w:color="auto" w:fill="FFFFFF"/>
        </w:rPr>
        <w:t>.确定资格：主管部门对入驻企业进行资格审查，确定入驻资格。</w:t>
      </w:r>
    </w:p>
    <w:p w14:paraId="7FE95B7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4</w:t>
      </w:r>
      <w:r>
        <w:rPr>
          <w:rFonts w:hint="eastAsia" w:ascii="仿宋_GB2312" w:hAnsi="微软雅黑" w:eastAsia="仿宋_GB2312" w:cs="仿宋_GB2312"/>
          <w:color w:val="auto"/>
          <w:kern w:val="0"/>
          <w:sz w:val="32"/>
          <w:szCs w:val="32"/>
          <w:shd w:val="clear" w:color="auto" w:fill="FFFFFF"/>
        </w:rPr>
        <w:t>.签约入驻：核准入驻的企业在收到通知</w:t>
      </w:r>
      <w:r>
        <w:rPr>
          <w:rFonts w:hint="eastAsia" w:ascii="Times New Roman" w:hAnsi="Times New Roman" w:eastAsia="仿宋_GB2312" w:cs="仿宋_GB2312"/>
          <w:color w:val="auto"/>
          <w:kern w:val="0"/>
          <w:sz w:val="32"/>
          <w:szCs w:val="32"/>
          <w:shd w:val="clear" w:color="auto" w:fill="FFFFFF"/>
        </w:rPr>
        <w:t>15</w:t>
      </w:r>
      <w:r>
        <w:rPr>
          <w:rFonts w:hint="eastAsia" w:ascii="仿宋_GB2312" w:hAnsi="微软雅黑" w:eastAsia="仿宋_GB2312" w:cs="仿宋_GB2312"/>
          <w:color w:val="auto"/>
          <w:kern w:val="0"/>
          <w:sz w:val="32"/>
          <w:szCs w:val="32"/>
          <w:shd w:val="clear" w:color="auto" w:fill="FFFFFF"/>
        </w:rPr>
        <w:t>个工作日内签订《入驻协议书》，并进行工商</w:t>
      </w:r>
      <w:r>
        <w:rPr>
          <w:rFonts w:hint="eastAsia" w:ascii="仿宋_GB2312" w:hAnsi="微软雅黑" w:eastAsia="仿宋_GB2312" w:cs="仿宋_GB2312"/>
          <w:color w:val="auto"/>
          <w:kern w:val="0"/>
          <w:sz w:val="32"/>
          <w:szCs w:val="32"/>
          <w:shd w:val="clear" w:color="auto" w:fill="FFFFFF"/>
          <w:lang w:val="en-US" w:eastAsia="zh-CN"/>
        </w:rPr>
        <w:t>注册</w:t>
      </w:r>
      <w:r>
        <w:rPr>
          <w:rFonts w:hint="eastAsia" w:ascii="仿宋_GB2312" w:hAnsi="微软雅黑" w:eastAsia="仿宋_GB2312" w:cs="仿宋_GB2312"/>
          <w:color w:val="auto"/>
          <w:kern w:val="0"/>
          <w:sz w:val="32"/>
          <w:szCs w:val="32"/>
          <w:shd w:val="clear" w:color="auto" w:fill="FFFFFF"/>
        </w:rPr>
        <w:t>，自协议签订之日起一个月内完成工商税务登记/入场装修，否则取消入驻资格。</w:t>
      </w:r>
    </w:p>
    <w:p w14:paraId="45D410B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黑体" w:hAnsi="宋体" w:eastAsia="黑体" w:cs="黑体"/>
          <w:color w:val="auto"/>
          <w:sz w:val="32"/>
          <w:szCs w:val="32"/>
          <w:shd w:val="clear" w:color="auto" w:fill="FFFFFF"/>
        </w:rPr>
        <w:t xml:space="preserve">第十一条  </w:t>
      </w:r>
      <w:r>
        <w:rPr>
          <w:rFonts w:hint="eastAsia" w:ascii="仿宋_GB2312" w:hAnsi="微软雅黑" w:eastAsia="仿宋_GB2312" w:cs="仿宋_GB2312"/>
          <w:color w:val="auto"/>
          <w:kern w:val="0"/>
          <w:sz w:val="32"/>
          <w:szCs w:val="32"/>
          <w:shd w:val="clear" w:color="auto" w:fill="FFFFFF"/>
        </w:rPr>
        <w:t>入驻企业必须遵守以下规定</w:t>
      </w:r>
    </w:p>
    <w:p w14:paraId="30DB9A4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1</w:t>
      </w:r>
      <w:r>
        <w:rPr>
          <w:rFonts w:hint="eastAsia" w:ascii="仿宋_GB2312" w:hAnsi="微软雅黑" w:eastAsia="仿宋_GB2312" w:cs="仿宋_GB2312"/>
          <w:color w:val="auto"/>
          <w:kern w:val="0"/>
          <w:sz w:val="32"/>
          <w:szCs w:val="32"/>
          <w:shd w:val="clear" w:color="auto" w:fill="FFFFFF"/>
        </w:rPr>
        <w:t>.入驻企业如需装修办公场地，</w:t>
      </w:r>
      <w:r>
        <w:rPr>
          <w:rFonts w:hint="eastAsia" w:ascii="仿宋_GB2312" w:hAnsi="微软雅黑" w:eastAsia="仿宋_GB2312" w:cs="仿宋_GB2312"/>
          <w:color w:val="auto"/>
          <w:kern w:val="0"/>
          <w:sz w:val="32"/>
          <w:szCs w:val="32"/>
          <w:shd w:val="clear" w:color="auto" w:fill="FFFFFF"/>
          <w:lang w:val="en-US" w:eastAsia="zh-CN"/>
        </w:rPr>
        <w:t>需经主管部门同意</w:t>
      </w:r>
      <w:r>
        <w:rPr>
          <w:rFonts w:hint="eastAsia" w:ascii="仿宋_GB2312" w:hAnsi="微软雅黑" w:eastAsia="仿宋_GB2312" w:cs="仿宋_GB2312"/>
          <w:color w:val="auto"/>
          <w:kern w:val="0"/>
          <w:sz w:val="32"/>
          <w:szCs w:val="32"/>
          <w:shd w:val="clear" w:color="auto" w:fill="FFFFFF"/>
        </w:rPr>
        <w:t>不得损坏建筑主体结构，不得擅自改变用途、转租、分租、转借、与他人调剂场地，装修时的安全责任由入驻企业自行承担。</w:t>
      </w:r>
    </w:p>
    <w:p w14:paraId="3E36448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2</w:t>
      </w:r>
      <w:r>
        <w:rPr>
          <w:rFonts w:hint="eastAsia" w:ascii="仿宋_GB2312" w:hAnsi="微软雅黑" w:eastAsia="仿宋_GB2312" w:cs="仿宋_GB2312"/>
          <w:color w:val="auto"/>
          <w:kern w:val="0"/>
          <w:sz w:val="32"/>
          <w:szCs w:val="32"/>
          <w:shd w:val="clear" w:color="auto" w:fill="FFFFFF"/>
        </w:rPr>
        <w:t>.产业园公共区域的基础配套设施的日常维护和维修、日常保洁养护，由运营公司负责；办公区域的日常维护和维修、日常保洁养护由企业自行负责。</w:t>
      </w:r>
    </w:p>
    <w:p w14:paraId="66EC6C9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3</w:t>
      </w:r>
      <w:r>
        <w:rPr>
          <w:rFonts w:hint="eastAsia" w:ascii="仿宋_GB2312" w:hAnsi="微软雅黑" w:eastAsia="仿宋_GB2312" w:cs="仿宋_GB2312"/>
          <w:color w:val="auto"/>
          <w:kern w:val="0"/>
          <w:sz w:val="32"/>
          <w:szCs w:val="32"/>
          <w:shd w:val="clear" w:color="auto" w:fill="FFFFFF"/>
        </w:rPr>
        <w:t>.企业入驻期间产生的水、电、通信、物业等费用自行承担。</w:t>
      </w:r>
    </w:p>
    <w:p w14:paraId="2C9924D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4</w:t>
      </w:r>
      <w:r>
        <w:rPr>
          <w:rFonts w:hint="eastAsia" w:ascii="仿宋_GB2312" w:hAnsi="微软雅黑" w:eastAsia="仿宋_GB2312" w:cs="仿宋_GB2312"/>
          <w:color w:val="auto"/>
          <w:kern w:val="0"/>
          <w:sz w:val="32"/>
          <w:szCs w:val="32"/>
          <w:shd w:val="clear" w:color="auto" w:fill="FFFFFF"/>
        </w:rPr>
        <w:t>.入园企业需配合运营公司做好相关调研、来访、考核、统计工作。</w:t>
      </w:r>
    </w:p>
    <w:p w14:paraId="454C0F3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黑体" w:hAnsi="宋体" w:eastAsia="黑体" w:cs="黑体"/>
          <w:color w:val="auto"/>
          <w:sz w:val="32"/>
          <w:szCs w:val="32"/>
          <w:shd w:val="clear" w:color="auto" w:fill="FFFFFF"/>
        </w:rPr>
        <w:t xml:space="preserve">第十二条  </w:t>
      </w:r>
      <w:r>
        <w:rPr>
          <w:rFonts w:hint="eastAsia" w:ascii="仿宋_GB2312" w:hAnsi="微软雅黑" w:eastAsia="仿宋_GB2312" w:cs="仿宋_GB2312"/>
          <w:color w:val="auto"/>
          <w:kern w:val="0"/>
          <w:sz w:val="32"/>
          <w:szCs w:val="32"/>
          <w:shd w:val="clear" w:color="auto" w:fill="FFFFFF"/>
        </w:rPr>
        <w:t>企业退出</w:t>
      </w:r>
    </w:p>
    <w:p w14:paraId="5034629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（一）期满退出</w:t>
      </w:r>
    </w:p>
    <w:p w14:paraId="6212DB4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微软雅黑" w:eastAsia="仿宋_GB2312" w:cs="仿宋_GB2312"/>
          <w:color w:val="auto"/>
          <w:kern w:val="0"/>
          <w:sz w:val="32"/>
          <w:szCs w:val="32"/>
          <w:shd w:val="clear" w:color="auto" w:fill="FFFFFF"/>
          <w:lang w:val="en-US" w:eastAsia="zh-CN"/>
        </w:rPr>
      </w:pPr>
      <w:r>
        <w:rPr>
          <w:rFonts w:hint="eastAsia" w:ascii="仿宋_GB2312" w:hAnsi="微软雅黑" w:eastAsia="仿宋_GB2312" w:cs="仿宋_GB2312"/>
          <w:color w:val="auto"/>
          <w:kern w:val="0"/>
          <w:sz w:val="32"/>
          <w:szCs w:val="32"/>
          <w:shd w:val="clear" w:color="auto" w:fill="FFFFFF"/>
        </w:rPr>
        <w:t>入驻园区的企业，期满</w:t>
      </w:r>
      <w:r>
        <w:rPr>
          <w:rFonts w:hint="eastAsia" w:ascii="仿宋_GB2312" w:hAnsi="微软雅黑" w:eastAsia="仿宋_GB2312" w:cs="仿宋_GB2312"/>
          <w:color w:val="auto"/>
          <w:kern w:val="0"/>
          <w:sz w:val="32"/>
          <w:szCs w:val="32"/>
          <w:shd w:val="clear" w:color="auto" w:fill="FFFFFF"/>
          <w:lang w:val="en-US" w:eastAsia="zh-CN"/>
        </w:rPr>
        <w:t>可以提出</w:t>
      </w:r>
      <w:r>
        <w:rPr>
          <w:rFonts w:hint="eastAsia" w:ascii="仿宋_GB2312" w:hAnsi="微软雅黑" w:eastAsia="仿宋_GB2312" w:cs="仿宋_GB2312"/>
          <w:color w:val="auto"/>
          <w:kern w:val="0"/>
          <w:sz w:val="32"/>
          <w:szCs w:val="32"/>
          <w:shd w:val="clear" w:color="auto" w:fill="FFFFFF"/>
        </w:rPr>
        <w:t>退出</w:t>
      </w: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lang w:val="en-US" w:eastAsia="zh-CN"/>
        </w:rPr>
        <w:t>如需延续入驻的可以提出申请。</w:t>
      </w:r>
    </w:p>
    <w:p w14:paraId="4F9BA6F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（二）申请退出</w:t>
      </w:r>
    </w:p>
    <w:p w14:paraId="4E3C0CB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因企业内部原因致使无法继续经营的，法人</w:t>
      </w:r>
      <w:r>
        <w:rPr>
          <w:rFonts w:hint="eastAsia" w:ascii="仿宋_GB2312" w:hAnsi="微软雅黑" w:eastAsia="仿宋_GB2312" w:cs="仿宋_GB2312"/>
          <w:color w:val="auto"/>
          <w:kern w:val="0"/>
          <w:sz w:val="32"/>
          <w:szCs w:val="32"/>
          <w:shd w:val="clear" w:color="auto" w:fill="FFFFFF"/>
          <w:lang w:val="en-US" w:eastAsia="zh-CN"/>
        </w:rPr>
        <w:t>须提前15日向运营机构</w:t>
      </w:r>
      <w:r>
        <w:rPr>
          <w:rFonts w:hint="eastAsia" w:ascii="仿宋_GB2312" w:hAnsi="微软雅黑" w:eastAsia="仿宋_GB2312" w:cs="仿宋_GB2312"/>
          <w:color w:val="auto"/>
          <w:kern w:val="0"/>
          <w:sz w:val="32"/>
          <w:szCs w:val="32"/>
          <w:shd w:val="clear" w:color="auto" w:fill="FFFFFF"/>
        </w:rPr>
        <w:t>提出</w:t>
      </w:r>
      <w:r>
        <w:rPr>
          <w:rFonts w:hint="eastAsia" w:ascii="仿宋_GB2312" w:hAnsi="微软雅黑" w:eastAsia="仿宋_GB2312" w:cs="仿宋_GB2312"/>
          <w:color w:val="auto"/>
          <w:kern w:val="0"/>
          <w:sz w:val="32"/>
          <w:szCs w:val="32"/>
          <w:shd w:val="clear" w:color="auto" w:fill="FFFFFF"/>
          <w:lang w:val="en-US" w:eastAsia="zh-CN"/>
        </w:rPr>
        <w:t>退出</w:t>
      </w:r>
      <w:r>
        <w:rPr>
          <w:rFonts w:hint="eastAsia" w:ascii="仿宋_GB2312" w:hAnsi="微软雅黑" w:eastAsia="仿宋_GB2312" w:cs="仿宋_GB2312"/>
          <w:color w:val="auto"/>
          <w:kern w:val="0"/>
          <w:sz w:val="32"/>
          <w:szCs w:val="32"/>
          <w:shd w:val="clear" w:color="auto" w:fill="FFFFFF"/>
        </w:rPr>
        <w:t>申请，</w:t>
      </w:r>
      <w:r>
        <w:rPr>
          <w:rFonts w:hint="eastAsia" w:ascii="仿宋_GB2312" w:hAnsi="微软雅黑" w:eastAsia="仿宋_GB2312" w:cs="仿宋_GB2312"/>
          <w:color w:val="auto"/>
          <w:kern w:val="0"/>
          <w:sz w:val="32"/>
          <w:szCs w:val="32"/>
          <w:shd w:val="clear" w:color="auto" w:fill="FFFFFF"/>
          <w:lang w:val="en-US" w:eastAsia="zh-CN"/>
        </w:rPr>
        <w:t>经审核同意后</w:t>
      </w:r>
      <w:r>
        <w:rPr>
          <w:rFonts w:hint="eastAsia" w:ascii="仿宋_GB2312" w:hAnsi="微软雅黑" w:eastAsia="仿宋_GB2312" w:cs="仿宋_GB2312"/>
          <w:color w:val="auto"/>
          <w:kern w:val="0"/>
          <w:sz w:val="32"/>
          <w:szCs w:val="32"/>
          <w:shd w:val="clear" w:color="auto" w:fill="FFFFFF"/>
        </w:rPr>
        <w:t>可终止协议，并办理相关手续后退出。</w:t>
      </w:r>
    </w:p>
    <w:p w14:paraId="5336392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（三）责令退出</w:t>
      </w:r>
    </w:p>
    <w:p w14:paraId="0CE5350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出现以下情况之一的，</w:t>
      </w:r>
      <w:r>
        <w:rPr>
          <w:rFonts w:hint="eastAsia" w:ascii="仿宋_GB2312" w:hAnsi="微软雅黑" w:eastAsia="仿宋_GB2312" w:cs="仿宋_GB2312"/>
          <w:color w:val="auto"/>
          <w:kern w:val="0"/>
          <w:sz w:val="32"/>
          <w:szCs w:val="32"/>
          <w:shd w:val="clear" w:color="auto" w:fill="FFFFFF"/>
          <w:lang w:val="en-US" w:eastAsia="zh-CN"/>
        </w:rPr>
        <w:t>由营运机构发出《退出通知书》，</w:t>
      </w:r>
      <w:r>
        <w:rPr>
          <w:rFonts w:hint="eastAsia" w:ascii="仿宋_GB2312" w:hAnsi="微软雅黑" w:eastAsia="仿宋_GB2312" w:cs="仿宋_GB2312"/>
          <w:color w:val="auto"/>
          <w:kern w:val="0"/>
          <w:sz w:val="32"/>
          <w:szCs w:val="32"/>
          <w:shd w:val="clear" w:color="auto" w:fill="FFFFFF"/>
        </w:rPr>
        <w:t>责令其退出：</w:t>
      </w:r>
    </w:p>
    <w:p w14:paraId="1981445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1</w:t>
      </w:r>
      <w:r>
        <w:rPr>
          <w:rFonts w:hint="eastAsia" w:ascii="仿宋_GB2312" w:hAnsi="微软雅黑" w:eastAsia="仿宋_GB2312" w:cs="仿宋_GB2312"/>
          <w:color w:val="auto"/>
          <w:kern w:val="0"/>
          <w:sz w:val="32"/>
          <w:szCs w:val="32"/>
          <w:shd w:val="clear" w:color="auto" w:fill="FFFFFF"/>
        </w:rPr>
        <w:t>.经营场所连续三十天处于空置或关闭状态，或擅自将经营场所转租（让）、挪作他用的。</w:t>
      </w:r>
    </w:p>
    <w:p w14:paraId="522977E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2</w:t>
      </w:r>
      <w:r>
        <w:rPr>
          <w:rFonts w:hint="eastAsia" w:ascii="仿宋_GB2312" w:hAnsi="微软雅黑" w:eastAsia="仿宋_GB2312" w:cs="仿宋_GB2312"/>
          <w:color w:val="auto"/>
          <w:kern w:val="0"/>
          <w:sz w:val="32"/>
          <w:szCs w:val="32"/>
          <w:shd w:val="clear" w:color="auto" w:fill="FFFFFF"/>
        </w:rPr>
        <w:t>.被依法宣告破产的。</w:t>
      </w:r>
    </w:p>
    <w:p w14:paraId="1D9D314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3</w:t>
      </w:r>
      <w:r>
        <w:rPr>
          <w:rFonts w:hint="eastAsia" w:ascii="仿宋_GB2312" w:hAnsi="微软雅黑" w:eastAsia="仿宋_GB2312" w:cs="仿宋_GB2312"/>
          <w:color w:val="auto"/>
          <w:kern w:val="0"/>
          <w:sz w:val="32"/>
          <w:szCs w:val="32"/>
          <w:shd w:val="clear" w:color="auto" w:fill="FFFFFF"/>
        </w:rPr>
        <w:t>.被吊销营业执照、责令关闭、撤销或者自行解散的。</w:t>
      </w:r>
    </w:p>
    <w:p w14:paraId="031B673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4</w:t>
      </w:r>
      <w:r>
        <w:rPr>
          <w:rFonts w:hint="eastAsia" w:ascii="仿宋_GB2312" w:hAnsi="微软雅黑" w:eastAsia="仿宋_GB2312" w:cs="仿宋_GB2312"/>
          <w:color w:val="auto"/>
          <w:kern w:val="0"/>
          <w:sz w:val="32"/>
          <w:szCs w:val="32"/>
          <w:shd w:val="clear" w:color="auto" w:fill="FFFFFF"/>
        </w:rPr>
        <w:t>.入驻后一个月内未按承诺在产业园内办理工商和纳税登记的或协议签订后三个月内未入驻办公的。</w:t>
      </w:r>
    </w:p>
    <w:p w14:paraId="74A38DB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5</w:t>
      </w:r>
      <w:r>
        <w:rPr>
          <w:rFonts w:hint="eastAsia" w:ascii="仿宋_GB2312" w:hAnsi="微软雅黑" w:eastAsia="仿宋_GB2312" w:cs="仿宋_GB2312"/>
          <w:color w:val="auto"/>
          <w:kern w:val="0"/>
          <w:sz w:val="32"/>
          <w:szCs w:val="32"/>
          <w:shd w:val="clear" w:color="auto" w:fill="FFFFFF"/>
        </w:rPr>
        <w:t>.其他影响产业园运营秩序、形象声誉的。</w:t>
      </w:r>
    </w:p>
    <w:p w14:paraId="519F0A9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6</w:t>
      </w:r>
      <w:r>
        <w:rPr>
          <w:rFonts w:hint="eastAsia" w:ascii="仿宋_GB2312" w:hAnsi="微软雅黑" w:eastAsia="仿宋_GB2312" w:cs="仿宋_GB2312"/>
          <w:color w:val="auto"/>
          <w:kern w:val="0"/>
          <w:sz w:val="32"/>
          <w:szCs w:val="32"/>
          <w:shd w:val="clear" w:color="auto" w:fill="FFFFFF"/>
        </w:rPr>
        <w:t>.连续三次考核结果为“不合格”的（考核周期为每季度一次，考核分数低于</w:t>
      </w:r>
      <w:r>
        <w:rPr>
          <w:rFonts w:hint="eastAsia" w:ascii="Times New Roman" w:hAnsi="Times New Roman" w:eastAsia="仿宋_GB2312" w:cs="仿宋_GB2312"/>
          <w:color w:val="auto"/>
          <w:kern w:val="0"/>
          <w:sz w:val="32"/>
          <w:szCs w:val="32"/>
          <w:shd w:val="clear" w:color="auto" w:fill="FFFFFF"/>
        </w:rPr>
        <w:t>60</w:t>
      </w:r>
      <w:r>
        <w:rPr>
          <w:rFonts w:hint="eastAsia" w:ascii="仿宋_GB2312" w:hAnsi="微软雅黑" w:eastAsia="仿宋_GB2312" w:cs="仿宋_GB2312"/>
          <w:color w:val="auto"/>
          <w:kern w:val="0"/>
          <w:sz w:val="32"/>
          <w:szCs w:val="32"/>
          <w:shd w:val="clear" w:color="auto" w:fill="FFFFFF"/>
        </w:rPr>
        <w:t>分为不及格）。</w:t>
      </w:r>
    </w:p>
    <w:p w14:paraId="62D2BA63">
      <w:pPr>
        <w:pStyle w:val="5"/>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eastAsia"/>
          <w:color w:val="auto"/>
          <w:sz w:val="32"/>
          <w:szCs w:val="32"/>
        </w:rPr>
      </w:pPr>
      <w:r>
        <w:rPr>
          <w:rFonts w:hint="eastAsia" w:ascii="黑体" w:hAnsi="宋体" w:eastAsia="黑体" w:cs="黑体"/>
          <w:color w:val="auto"/>
          <w:sz w:val="32"/>
          <w:szCs w:val="32"/>
          <w:shd w:val="clear" w:color="auto" w:fill="FFFFFF"/>
        </w:rPr>
        <w:t>第五章  评估考核</w:t>
      </w:r>
    </w:p>
    <w:p w14:paraId="7385C5E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黑体" w:hAnsi="宋体" w:eastAsia="黑体" w:cs="黑体"/>
          <w:color w:val="auto"/>
          <w:sz w:val="32"/>
          <w:szCs w:val="32"/>
          <w:shd w:val="clear" w:color="auto" w:fill="FFFFFF"/>
        </w:rPr>
        <w:t>第十三条</w:t>
      </w:r>
      <w:r>
        <w:rPr>
          <w:rFonts w:hint="eastAsia" w:ascii="仿宋_GB2312" w:eastAsia="仿宋_GB2312"/>
          <w:color w:val="auto"/>
          <w:sz w:val="32"/>
          <w:szCs w:val="32"/>
        </w:rPr>
        <w:t xml:space="preserve">  产业园运营管理机构每年第一季度对上一年运行情况进行评估总结，完成考评数据、辅证材料（主要包括：入驻机构情况、招商引资、固定资产投资以及园区内机构的财务状况、业务活动、从业人员等情况）等统计整理和自评工作，经申报主体审核后报送南丹县人力资源和社会保障局。</w:t>
      </w:r>
    </w:p>
    <w:p w14:paraId="611110E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黑体" w:hAnsi="宋体" w:eastAsia="黑体" w:cs="黑体"/>
          <w:color w:val="auto"/>
          <w:sz w:val="32"/>
          <w:szCs w:val="32"/>
          <w:shd w:val="clear" w:color="auto" w:fill="FFFFFF"/>
        </w:rPr>
        <w:t>第十四条</w:t>
      </w:r>
      <w:r>
        <w:rPr>
          <w:rFonts w:hint="eastAsia" w:ascii="仿宋_GB2312" w:eastAsia="仿宋_GB2312"/>
          <w:color w:val="auto"/>
          <w:sz w:val="32"/>
          <w:szCs w:val="32"/>
        </w:rPr>
        <w:t xml:space="preserve">  南丹县</w:t>
      </w:r>
      <w:r>
        <w:rPr>
          <w:rFonts w:ascii="仿宋_GB2312" w:eastAsia="仿宋_GB2312"/>
          <w:color w:val="auto"/>
          <w:sz w:val="32"/>
          <w:szCs w:val="32"/>
        </w:rPr>
        <w:t>人力资源</w:t>
      </w:r>
      <w:r>
        <w:rPr>
          <w:rFonts w:hint="eastAsia" w:ascii="仿宋_GB2312" w:eastAsia="仿宋_GB2312"/>
          <w:color w:val="auto"/>
          <w:sz w:val="32"/>
          <w:szCs w:val="32"/>
        </w:rPr>
        <w:t>和</w:t>
      </w:r>
      <w:r>
        <w:rPr>
          <w:rFonts w:ascii="仿宋_GB2312" w:eastAsia="仿宋_GB2312"/>
          <w:color w:val="auto"/>
          <w:sz w:val="32"/>
          <w:szCs w:val="32"/>
        </w:rPr>
        <w:t>社会保障</w:t>
      </w:r>
      <w:r>
        <w:rPr>
          <w:rFonts w:hint="eastAsia" w:ascii="仿宋_GB2312" w:eastAsia="仿宋_GB2312"/>
          <w:color w:val="auto"/>
          <w:sz w:val="32"/>
          <w:szCs w:val="32"/>
        </w:rPr>
        <w:t>局</w:t>
      </w:r>
      <w:r>
        <w:rPr>
          <w:rFonts w:ascii="仿宋_GB2312" w:eastAsia="仿宋_GB2312"/>
          <w:color w:val="auto"/>
          <w:sz w:val="32"/>
          <w:szCs w:val="32"/>
        </w:rPr>
        <w:t>负责对产业园实行综合评估考核。评估考核内容包括平台建设、政策体系、管理运营、服务保障、经济社会效益等方面。评估考核每年进行一次</w:t>
      </w:r>
      <w:r>
        <w:rPr>
          <w:rFonts w:hint="eastAsia" w:ascii="仿宋_GB2312" w:eastAsia="仿宋_GB2312"/>
          <w:color w:val="auto"/>
          <w:sz w:val="32"/>
          <w:szCs w:val="32"/>
        </w:rPr>
        <w:t>，根据考核结果给予运营经费及相关优惠政策。</w:t>
      </w:r>
    </w:p>
    <w:p w14:paraId="22E34800">
      <w:pPr>
        <w:pStyle w:val="5"/>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eastAsia"/>
          <w:color w:val="auto"/>
          <w:sz w:val="32"/>
          <w:szCs w:val="32"/>
        </w:rPr>
      </w:pPr>
      <w:r>
        <w:rPr>
          <w:rFonts w:hint="eastAsia" w:ascii="黑体" w:hAnsi="宋体" w:eastAsia="黑体" w:cs="黑体"/>
          <w:color w:val="auto"/>
          <w:sz w:val="32"/>
          <w:szCs w:val="32"/>
          <w:shd w:val="clear" w:color="auto" w:fill="FFFFFF"/>
        </w:rPr>
        <w:t>第六章  扶持政策</w:t>
      </w:r>
    </w:p>
    <w:p w14:paraId="4F7BDDA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color w:val="auto"/>
          <w:sz w:val="32"/>
          <w:szCs w:val="32"/>
          <w:lang w:val="en-US" w:eastAsia="zh-CN"/>
        </w:rPr>
      </w:pPr>
      <w:r>
        <w:rPr>
          <w:rFonts w:hint="eastAsia" w:ascii="黑体" w:hAnsi="宋体" w:eastAsia="黑体" w:cs="黑体"/>
          <w:color w:val="auto"/>
          <w:sz w:val="32"/>
          <w:szCs w:val="32"/>
          <w:shd w:val="clear" w:color="auto" w:fill="FFFFFF"/>
        </w:rPr>
        <w:t>第十五条</w:t>
      </w:r>
      <w:r>
        <w:rPr>
          <w:rFonts w:hint="eastAsia" w:ascii="仿宋_GB2312" w:eastAsia="仿宋_GB2312"/>
          <w:color w:val="auto"/>
          <w:sz w:val="32"/>
          <w:szCs w:val="32"/>
        </w:rPr>
        <w:t xml:space="preserve">  经审核入驻产业园的企业可享受3年办公场地租金免费政策，同一企业、同一法人只能享受一次减免政策。</w:t>
      </w:r>
      <w:r>
        <w:rPr>
          <w:rFonts w:hint="eastAsia" w:ascii="仿宋_GB2312" w:eastAsia="仿宋_GB2312"/>
          <w:color w:val="auto"/>
          <w:sz w:val="32"/>
          <w:szCs w:val="32"/>
          <w:lang w:val="en-US" w:eastAsia="zh-CN"/>
        </w:rPr>
        <w:t>租金减免期结束后，按本县相关规定收取租金。</w:t>
      </w:r>
    </w:p>
    <w:p w14:paraId="5C813CD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黑体" w:hAnsi="宋体" w:eastAsia="黑体" w:cs="黑体"/>
          <w:color w:val="auto"/>
          <w:sz w:val="32"/>
          <w:szCs w:val="32"/>
          <w:shd w:val="clear" w:color="auto" w:fill="FFFFFF"/>
        </w:rPr>
        <w:t>第十六条</w:t>
      </w:r>
      <w:r>
        <w:rPr>
          <w:rFonts w:hint="eastAsia" w:ascii="仿宋_GB2312" w:eastAsia="仿宋_GB2312"/>
          <w:color w:val="auto"/>
          <w:sz w:val="32"/>
          <w:szCs w:val="32"/>
        </w:rPr>
        <w:t xml:space="preserve">  </w:t>
      </w:r>
      <w:r>
        <w:rPr>
          <w:rFonts w:ascii="仿宋_GB2312" w:eastAsia="仿宋_GB2312"/>
          <w:color w:val="auto"/>
          <w:sz w:val="32"/>
          <w:szCs w:val="32"/>
        </w:rPr>
        <w:t>支持产业园内的人力资源服务机构有序承接政府转移的人才引进、流动、服务等项目</w:t>
      </w:r>
      <w:r>
        <w:rPr>
          <w:rFonts w:hint="eastAsia" w:ascii="仿宋_GB2312" w:eastAsia="仿宋_GB2312"/>
          <w:color w:val="auto"/>
          <w:sz w:val="32"/>
          <w:szCs w:val="32"/>
        </w:rPr>
        <w:t>；对吸纳重点群体就业、提供就业创业服务的，</w:t>
      </w:r>
      <w:r>
        <w:rPr>
          <w:rFonts w:ascii="仿宋_GB2312" w:eastAsia="仿宋_GB2312"/>
          <w:color w:val="auto"/>
          <w:sz w:val="32"/>
          <w:szCs w:val="32"/>
        </w:rPr>
        <w:t>按规定享受</w:t>
      </w:r>
      <w:r>
        <w:rPr>
          <w:rFonts w:hint="eastAsia" w:ascii="仿宋_GB2312" w:eastAsia="仿宋_GB2312"/>
          <w:color w:val="auto"/>
          <w:sz w:val="32"/>
          <w:szCs w:val="32"/>
        </w:rPr>
        <w:t>用工介绍、减税降费、技能培训、社保补贴、就业见习、公益性岗位安置等政策</w:t>
      </w:r>
      <w:r>
        <w:rPr>
          <w:rFonts w:ascii="仿宋_GB2312" w:eastAsia="仿宋_GB2312"/>
          <w:color w:val="auto"/>
          <w:sz w:val="32"/>
          <w:szCs w:val="32"/>
        </w:rPr>
        <w:t>补贴</w:t>
      </w:r>
      <w:r>
        <w:rPr>
          <w:rFonts w:hint="eastAsia" w:ascii="仿宋_GB2312" w:eastAsia="仿宋_GB2312"/>
          <w:color w:val="auto"/>
          <w:sz w:val="32"/>
          <w:szCs w:val="32"/>
        </w:rPr>
        <w:t>。</w:t>
      </w:r>
    </w:p>
    <w:p w14:paraId="700B714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宋体" w:eastAsia="黑体" w:cs="黑体"/>
          <w:color w:val="auto"/>
          <w:sz w:val="32"/>
          <w:szCs w:val="32"/>
          <w:shd w:val="clear" w:color="auto" w:fill="FFFFFF"/>
        </w:rPr>
      </w:pPr>
      <w:r>
        <w:rPr>
          <w:rFonts w:hint="eastAsia" w:ascii="黑体" w:hAnsi="宋体" w:eastAsia="黑体" w:cs="黑体"/>
          <w:color w:val="auto"/>
          <w:sz w:val="32"/>
          <w:szCs w:val="32"/>
          <w:shd w:val="clear" w:color="auto" w:fill="FFFFFF"/>
        </w:rPr>
        <w:t>第七章  附则</w:t>
      </w:r>
    </w:p>
    <w:p w14:paraId="1D35958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黑体" w:hAnsi="宋体" w:eastAsia="黑体" w:cs="黑体"/>
          <w:color w:val="auto"/>
          <w:sz w:val="32"/>
          <w:szCs w:val="32"/>
          <w:shd w:val="clear" w:color="auto" w:fill="FFFFFF"/>
        </w:rPr>
        <w:t xml:space="preserve">第二十条  </w:t>
      </w:r>
      <w:r>
        <w:rPr>
          <w:rFonts w:hint="eastAsia" w:ascii="仿宋_GB2312" w:eastAsia="仿宋_GB2312"/>
          <w:color w:val="auto"/>
          <w:sz w:val="32"/>
          <w:szCs w:val="32"/>
        </w:rPr>
        <w:t>本办法自</w:t>
      </w:r>
      <w:r>
        <w:rPr>
          <w:rFonts w:hint="eastAsia" w:ascii="Times New Roman" w:hAnsi="Times New Roman" w:eastAsia="仿宋_GB2312"/>
          <w:color w:val="auto"/>
          <w:sz w:val="32"/>
          <w:szCs w:val="32"/>
        </w:rPr>
        <w:t>2025</w:t>
      </w:r>
      <w:r>
        <w:rPr>
          <w:rFonts w:hint="eastAsia" w:ascii="仿宋_GB2312" w:eastAsia="仿宋_GB2312"/>
          <w:color w:val="auto"/>
          <w:sz w:val="32"/>
          <w:szCs w:val="32"/>
        </w:rPr>
        <w:t>年</w:t>
      </w:r>
      <w:r>
        <w:rPr>
          <w:rFonts w:hint="eastAsia" w:ascii="Times New Roman" w:hAnsi="Times New Roman" w:eastAsia="仿宋_GB2312"/>
          <w:color w:val="auto"/>
          <w:sz w:val="32"/>
          <w:szCs w:val="32"/>
        </w:rPr>
        <w:t>1</w:t>
      </w:r>
      <w:r>
        <w:rPr>
          <w:rFonts w:hint="eastAsia" w:ascii="仿宋_GB2312" w:eastAsia="仿宋_GB2312"/>
          <w:color w:val="auto"/>
          <w:sz w:val="32"/>
          <w:szCs w:val="32"/>
        </w:rPr>
        <w:t>月</w:t>
      </w:r>
      <w:r>
        <w:rPr>
          <w:rFonts w:hint="eastAsia" w:ascii="Times New Roman" w:hAnsi="Times New Roman" w:eastAsia="仿宋_GB2312"/>
          <w:color w:val="auto"/>
          <w:sz w:val="32"/>
          <w:szCs w:val="32"/>
        </w:rPr>
        <w:t>1</w:t>
      </w:r>
      <w:r>
        <w:rPr>
          <w:rFonts w:hint="eastAsia" w:ascii="仿宋_GB2312" w:eastAsia="仿宋_GB2312"/>
          <w:color w:val="auto"/>
          <w:sz w:val="32"/>
          <w:szCs w:val="32"/>
        </w:rPr>
        <w:t>日起施行，施行过程中如遇上级有法律法规和政策调整变化，从其规定。</w:t>
      </w:r>
      <w:r>
        <w:rPr>
          <w:rFonts w:hint="eastAsia" w:ascii="仿宋_GB2312" w:hAnsi="微软雅黑" w:eastAsia="仿宋_GB2312" w:cs="仿宋_GB2312"/>
          <w:color w:val="auto"/>
          <w:sz w:val="32"/>
          <w:szCs w:val="32"/>
          <w:shd w:val="clear" w:color="auto" w:fill="FFFFFF"/>
        </w:rPr>
        <w:t>由南丹县人力资源和社会保障局负责解释。</w:t>
      </w:r>
    </w:p>
    <w:p w14:paraId="28EA9FB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附件：</w:t>
      </w:r>
      <w:r>
        <w:rPr>
          <w:rFonts w:hint="eastAsia" w:ascii="Times New Roman" w:hAnsi="Times New Roman" w:eastAsia="仿宋_GB2312"/>
          <w:color w:val="auto"/>
          <w:sz w:val="32"/>
          <w:szCs w:val="32"/>
        </w:rPr>
        <w:t>1</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南丹县有色金属产业人力资源服务分园</w:t>
      </w:r>
      <w:r>
        <w:rPr>
          <w:rFonts w:hint="eastAsia" w:ascii="仿宋_GB2312" w:eastAsia="仿宋_GB2312"/>
          <w:color w:val="auto"/>
          <w:sz w:val="32"/>
          <w:szCs w:val="32"/>
        </w:rPr>
        <w:t>入园申请表</w:t>
      </w:r>
    </w:p>
    <w:p w14:paraId="47AF41AC">
      <w:pPr>
        <w:keepNext w:val="0"/>
        <w:keepLines w:val="0"/>
        <w:pageBreakBefore w:val="0"/>
        <w:kinsoku/>
        <w:wordWrap/>
        <w:overflowPunct/>
        <w:topLinePunct w:val="0"/>
        <w:autoSpaceDE/>
        <w:autoSpaceDN/>
        <w:bidi w:val="0"/>
        <w:adjustRightInd/>
        <w:snapToGrid/>
        <w:spacing w:line="520" w:lineRule="exact"/>
        <w:ind w:firstLine="1600" w:firstLineChars="500"/>
        <w:textAlignment w:val="auto"/>
        <w:rPr>
          <w:rFonts w:hint="eastAsia" w:ascii="仿宋_GB2312" w:eastAsia="仿宋_GB2312"/>
          <w:color w:val="auto"/>
          <w:sz w:val="32"/>
          <w:szCs w:val="32"/>
        </w:rPr>
      </w:pPr>
      <w:r>
        <w:rPr>
          <w:rFonts w:hint="eastAsia" w:ascii="Times New Roman" w:hAnsi="Times New Roman" w:eastAsia="仿宋_GB2312"/>
          <w:color w:val="auto"/>
          <w:sz w:val="32"/>
          <w:szCs w:val="32"/>
        </w:rPr>
        <w:t>2</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南丹县有色金属产业人力资源服务分园</w:t>
      </w:r>
      <w:r>
        <w:rPr>
          <w:rFonts w:hint="eastAsia" w:ascii="仿宋_GB2312" w:eastAsia="仿宋_GB2312"/>
          <w:color w:val="auto"/>
          <w:sz w:val="32"/>
          <w:szCs w:val="32"/>
        </w:rPr>
        <w:t>入园须知</w:t>
      </w:r>
    </w:p>
    <w:p w14:paraId="31720BDA">
      <w:pPr>
        <w:keepNext w:val="0"/>
        <w:keepLines w:val="0"/>
        <w:pageBreakBefore w:val="0"/>
        <w:kinsoku/>
        <w:wordWrap/>
        <w:overflowPunct/>
        <w:topLinePunct w:val="0"/>
        <w:autoSpaceDE/>
        <w:autoSpaceDN/>
        <w:bidi w:val="0"/>
        <w:adjustRightInd/>
        <w:snapToGrid/>
        <w:spacing w:line="520" w:lineRule="exact"/>
        <w:ind w:firstLine="1680" w:firstLineChars="600"/>
        <w:textAlignment w:val="auto"/>
        <w:rPr>
          <w:rFonts w:hint="eastAsia" w:ascii="仿宋_GB2312" w:eastAsia="仿宋_GB2312"/>
          <w:color w:val="auto"/>
          <w:spacing w:val="-20"/>
          <w:sz w:val="32"/>
          <w:szCs w:val="32"/>
        </w:rPr>
      </w:pPr>
      <w:r>
        <w:rPr>
          <w:rFonts w:hint="eastAsia" w:ascii="Times New Roman" w:hAnsi="Times New Roman" w:eastAsia="仿宋_GB2312"/>
          <w:color w:val="auto"/>
          <w:spacing w:val="-20"/>
          <w:sz w:val="32"/>
          <w:szCs w:val="32"/>
        </w:rPr>
        <w:t>3</w:t>
      </w:r>
      <w:r>
        <w:rPr>
          <w:rFonts w:hint="eastAsia" w:ascii="仿宋_GB2312" w:eastAsia="仿宋_GB2312"/>
          <w:color w:val="auto"/>
          <w:spacing w:val="-20"/>
          <w:sz w:val="32"/>
          <w:szCs w:val="32"/>
        </w:rPr>
        <w:t>.</w:t>
      </w:r>
      <w:r>
        <w:rPr>
          <w:rFonts w:hint="eastAsia" w:ascii="仿宋_GB2312" w:hAnsi="仿宋_GB2312" w:eastAsia="仿宋_GB2312" w:cs="仿宋_GB2312"/>
          <w:color w:val="auto"/>
          <w:spacing w:val="-20"/>
          <w:sz w:val="32"/>
          <w:szCs w:val="32"/>
        </w:rPr>
        <w:t>南丹县有色金属产业人力资源服务分园</w:t>
      </w:r>
      <w:r>
        <w:rPr>
          <w:rFonts w:hint="eastAsia" w:ascii="仿宋_GB2312" w:eastAsia="仿宋_GB2312"/>
          <w:color w:val="auto"/>
          <w:spacing w:val="-20"/>
          <w:sz w:val="32"/>
          <w:szCs w:val="32"/>
        </w:rPr>
        <w:t>入驻协议书</w:t>
      </w:r>
    </w:p>
    <w:p w14:paraId="78B890A5">
      <w:pPr>
        <w:keepNext w:val="0"/>
        <w:keepLines w:val="0"/>
        <w:pageBreakBefore w:val="0"/>
        <w:kinsoku/>
        <w:wordWrap/>
        <w:overflowPunct/>
        <w:topLinePunct w:val="0"/>
        <w:autoSpaceDE/>
        <w:autoSpaceDN/>
        <w:bidi w:val="0"/>
        <w:adjustRightInd/>
        <w:snapToGrid/>
        <w:spacing w:after="156" w:afterLines="50" w:line="520" w:lineRule="exact"/>
        <w:jc w:val="center"/>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4</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南丹县有色金属产业人力资源服务分园入驻</w:t>
      </w:r>
      <w:r>
        <w:rPr>
          <w:rFonts w:hint="eastAsia" w:ascii="仿宋_GB2312" w:hAnsi="仿宋_GB2312" w:eastAsia="仿宋_GB2312" w:cs="仿宋_GB2312"/>
          <w:color w:val="auto"/>
          <w:sz w:val="32"/>
          <w:szCs w:val="32"/>
          <w:lang w:val="en-US" w:eastAsia="zh-CN"/>
        </w:rPr>
        <w:t>企业</w:t>
      </w:r>
    </w:p>
    <w:p w14:paraId="48BB5787">
      <w:pPr>
        <w:keepNext w:val="0"/>
        <w:keepLines w:val="0"/>
        <w:pageBreakBefore w:val="0"/>
        <w:kinsoku/>
        <w:wordWrap/>
        <w:overflowPunct/>
        <w:topLinePunct w:val="0"/>
        <w:autoSpaceDE/>
        <w:autoSpaceDN/>
        <w:bidi w:val="0"/>
        <w:adjustRightInd/>
        <w:snapToGrid/>
        <w:spacing w:after="156" w:afterLines="50" w:line="520" w:lineRule="exact"/>
        <w:ind w:firstLine="1600" w:firstLineChars="5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考核标准</w:t>
      </w:r>
    </w:p>
    <w:p w14:paraId="657C70CF">
      <w:pPr>
        <w:keepNext w:val="0"/>
        <w:keepLines w:val="0"/>
        <w:pageBreakBefore w:val="0"/>
        <w:kinsoku/>
        <w:wordWrap/>
        <w:overflowPunct/>
        <w:topLinePunct w:val="0"/>
        <w:autoSpaceDE/>
        <w:autoSpaceDN/>
        <w:bidi w:val="0"/>
        <w:adjustRightInd/>
        <w:snapToGrid/>
        <w:spacing w:after="156" w:afterLines="50" w:line="520" w:lineRule="exact"/>
        <w:ind w:firstLine="1600" w:firstLineChars="500"/>
        <w:jc w:val="both"/>
        <w:textAlignment w:val="auto"/>
        <w:rPr>
          <w:rFonts w:hint="eastAsia" w:ascii="仿宋_GB2312" w:hAnsi="仿宋_GB2312" w:eastAsia="仿宋_GB2312" w:cs="仿宋_GB2312"/>
          <w:color w:val="auto"/>
          <w:sz w:val="32"/>
          <w:szCs w:val="32"/>
        </w:rPr>
      </w:pPr>
    </w:p>
    <w:p w14:paraId="2994D40A">
      <w:pPr>
        <w:keepNext w:val="0"/>
        <w:keepLines w:val="0"/>
        <w:pageBreakBefore w:val="0"/>
        <w:kinsoku/>
        <w:wordWrap/>
        <w:overflowPunct/>
        <w:topLinePunct w:val="0"/>
        <w:autoSpaceDE/>
        <w:autoSpaceDN/>
        <w:bidi w:val="0"/>
        <w:adjustRightInd/>
        <w:snapToGrid/>
        <w:spacing w:line="520" w:lineRule="exact"/>
        <w:ind w:firstLine="3840" w:firstLineChars="1200"/>
        <w:textAlignment w:val="auto"/>
        <w:rPr>
          <w:rFonts w:hint="eastAsia" w:ascii="仿宋_GB2312" w:eastAsia="仿宋_GB2312"/>
          <w:color w:val="auto"/>
          <w:sz w:val="32"/>
          <w:szCs w:val="32"/>
        </w:rPr>
      </w:pPr>
      <w:r>
        <w:rPr>
          <w:rFonts w:hint="eastAsia" w:ascii="仿宋_GB2312" w:eastAsia="仿宋_GB2312"/>
          <w:color w:val="auto"/>
          <w:sz w:val="32"/>
          <w:szCs w:val="32"/>
        </w:rPr>
        <w:t>南丹县人力资源和社会保障局</w:t>
      </w:r>
    </w:p>
    <w:p w14:paraId="3AB42F72">
      <w:pPr>
        <w:keepNext w:val="0"/>
        <w:keepLines w:val="0"/>
        <w:pageBreakBefore w:val="0"/>
        <w:kinsoku/>
        <w:wordWrap/>
        <w:overflowPunct/>
        <w:topLinePunct w:val="0"/>
        <w:autoSpaceDE/>
        <w:autoSpaceDN/>
        <w:bidi w:val="0"/>
        <w:adjustRightInd/>
        <w:snapToGrid/>
        <w:spacing w:line="520" w:lineRule="exact"/>
        <w:ind w:firstLine="5120" w:firstLineChars="1600"/>
        <w:textAlignment w:val="auto"/>
        <w:rPr>
          <w:rFonts w:hint="eastAsia" w:ascii="仿宋_GB2312" w:eastAsia="仿宋_GB2312"/>
          <w:color w:val="auto"/>
          <w:sz w:val="32"/>
          <w:szCs w:val="32"/>
        </w:rPr>
      </w:pP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 xml:space="preserve"> </w:t>
      </w:r>
      <w:r>
        <w:rPr>
          <w:rFonts w:hint="eastAsia" w:ascii="Times New Roman" w:hAnsi="Times New Roman" w:eastAsia="仿宋_GB2312"/>
          <w:color w:val="auto"/>
          <w:sz w:val="32"/>
          <w:szCs w:val="32"/>
          <w:lang w:val="en-US" w:eastAsia="zh-CN"/>
        </w:rPr>
        <w:t xml:space="preserve"> </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 xml:space="preserve"> </w:t>
      </w:r>
      <w:r>
        <w:rPr>
          <w:rFonts w:hint="eastAsia" w:ascii="Times New Roman" w:hAnsi="Times New Roman" w:eastAsia="仿宋_GB2312"/>
          <w:color w:val="auto"/>
          <w:sz w:val="32"/>
          <w:szCs w:val="32"/>
          <w:lang w:val="en-US" w:eastAsia="zh-CN"/>
        </w:rPr>
        <w:t xml:space="preserve"> </w:t>
      </w:r>
      <w:r>
        <w:rPr>
          <w:rFonts w:hint="eastAsia" w:ascii="仿宋_GB2312" w:eastAsia="仿宋_GB2312"/>
          <w:color w:val="auto"/>
          <w:sz w:val="32"/>
          <w:szCs w:val="32"/>
        </w:rPr>
        <w:t>日</w:t>
      </w:r>
    </w:p>
    <w:p w14:paraId="29E05EDE">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14:paraId="6399E752">
      <w:pPr>
        <w:spacing w:line="560" w:lineRule="exact"/>
        <w:jc w:val="left"/>
        <w:rPr>
          <w:rFonts w:hint="eastAsia" w:ascii="仿宋_GB2312" w:eastAsia="仿宋_GB2312"/>
          <w:sz w:val="32"/>
          <w:szCs w:val="32"/>
        </w:rPr>
      </w:pPr>
    </w:p>
    <w:p w14:paraId="6BA68188">
      <w:pPr>
        <w:spacing w:line="560" w:lineRule="exact"/>
        <w:jc w:val="left"/>
        <w:rPr>
          <w:rFonts w:hint="eastAsia" w:ascii="仿宋_GB2312" w:eastAsia="仿宋_GB2312"/>
          <w:sz w:val="32"/>
          <w:szCs w:val="32"/>
        </w:rPr>
      </w:pPr>
    </w:p>
    <w:p w14:paraId="76E1C34D">
      <w:pPr>
        <w:spacing w:line="560" w:lineRule="exact"/>
        <w:jc w:val="left"/>
        <w:rPr>
          <w:rFonts w:hint="eastAsia" w:ascii="仿宋_GB2312" w:hAnsi="仿宋_GB2312" w:eastAsia="仿宋_GB2312" w:cs="仿宋_GB2312"/>
          <w:b w:val="0"/>
          <w:bCs w:val="0"/>
          <w:color w:val="auto"/>
          <w:sz w:val="32"/>
          <w:szCs w:val="32"/>
        </w:rPr>
      </w:pPr>
    </w:p>
    <w:p w14:paraId="12FA0727">
      <w:pPr>
        <w:spacing w:line="560" w:lineRule="exact"/>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附件1</w:t>
      </w:r>
    </w:p>
    <w:tbl>
      <w:tblPr>
        <w:tblStyle w:val="6"/>
        <w:tblpPr w:leftFromText="180" w:rightFromText="180" w:vertAnchor="page" w:horzAnchor="page" w:tblpX="1739" w:tblpY="3364"/>
        <w:tblW w:w="5000" w:type="pct"/>
        <w:tblInd w:w="0" w:type="dxa"/>
        <w:tblLayout w:type="autofit"/>
        <w:tblCellMar>
          <w:top w:w="0" w:type="dxa"/>
          <w:left w:w="0" w:type="dxa"/>
          <w:bottom w:w="0" w:type="dxa"/>
          <w:right w:w="0" w:type="dxa"/>
        </w:tblCellMar>
      </w:tblPr>
      <w:tblGrid>
        <w:gridCol w:w="1542"/>
        <w:gridCol w:w="1183"/>
        <w:gridCol w:w="1288"/>
        <w:gridCol w:w="299"/>
        <w:gridCol w:w="4743"/>
      </w:tblGrid>
      <w:tr w14:paraId="1D441930">
        <w:tblPrEx>
          <w:tblCellMar>
            <w:top w:w="0" w:type="dxa"/>
            <w:left w:w="0" w:type="dxa"/>
            <w:bottom w:w="0" w:type="dxa"/>
            <w:right w:w="0" w:type="dxa"/>
          </w:tblCellMar>
        </w:tblPrEx>
        <w:trPr>
          <w:trHeight w:val="90" w:hRule="atLeast"/>
        </w:trPr>
        <w:tc>
          <w:tcPr>
            <w:tcW w:w="852"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6B624DC">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单位名称</w:t>
            </w:r>
          </w:p>
        </w:tc>
        <w:tc>
          <w:tcPr>
            <w:tcW w:w="4147" w:type="pct"/>
            <w:gridSpan w:val="4"/>
            <w:tcBorders>
              <w:top w:val="single" w:color="auto" w:sz="6" w:space="0"/>
              <w:left w:val="nil"/>
              <w:bottom w:val="single" w:color="auto" w:sz="6" w:space="0"/>
              <w:right w:val="single" w:color="auto" w:sz="6" w:space="0"/>
            </w:tcBorders>
            <w:tcMar>
              <w:top w:w="0" w:type="dxa"/>
              <w:left w:w="105" w:type="dxa"/>
              <w:bottom w:w="0" w:type="dxa"/>
              <w:right w:w="105" w:type="dxa"/>
            </w:tcMar>
          </w:tcPr>
          <w:p w14:paraId="3F73722A">
            <w:pPr>
              <w:spacing w:after="160" w:line="278" w:lineRule="auto"/>
              <w:rPr>
                <w:rFonts w:hint="eastAsia" w:ascii="仿宋_GB2312" w:hAnsi="仿宋_GB2312" w:eastAsia="仿宋_GB2312" w:cs="仿宋_GB2312"/>
                <w:sz w:val="22"/>
                <w:szCs w:val="28"/>
              </w:rPr>
            </w:pPr>
          </w:p>
        </w:tc>
      </w:tr>
      <w:tr w14:paraId="7613BC83">
        <w:tblPrEx>
          <w:tblCellMar>
            <w:top w:w="0" w:type="dxa"/>
            <w:left w:w="0" w:type="dxa"/>
            <w:bottom w:w="0" w:type="dxa"/>
            <w:right w:w="0" w:type="dxa"/>
          </w:tblCellMar>
        </w:tblPrEx>
        <w:trPr>
          <w:trHeight w:val="90" w:hRule="atLeast"/>
        </w:trPr>
        <w:tc>
          <w:tcPr>
            <w:tcW w:w="85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1CB1813">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单位地址</w:t>
            </w:r>
          </w:p>
        </w:tc>
        <w:tc>
          <w:tcPr>
            <w:tcW w:w="4147" w:type="pct"/>
            <w:gridSpan w:val="4"/>
            <w:tcBorders>
              <w:top w:val="nil"/>
              <w:left w:val="nil"/>
              <w:bottom w:val="single" w:color="auto" w:sz="6" w:space="0"/>
              <w:right w:val="single" w:color="auto" w:sz="6" w:space="0"/>
            </w:tcBorders>
            <w:tcMar>
              <w:top w:w="0" w:type="dxa"/>
              <w:left w:w="105" w:type="dxa"/>
              <w:bottom w:w="0" w:type="dxa"/>
              <w:right w:w="105" w:type="dxa"/>
            </w:tcMar>
          </w:tcPr>
          <w:p w14:paraId="5F597AEA">
            <w:pPr>
              <w:spacing w:after="160" w:line="278" w:lineRule="auto"/>
              <w:rPr>
                <w:rFonts w:hint="eastAsia" w:ascii="仿宋_GB2312" w:hAnsi="仿宋_GB2312" w:eastAsia="仿宋_GB2312" w:cs="仿宋_GB2312"/>
                <w:sz w:val="22"/>
                <w:szCs w:val="28"/>
              </w:rPr>
            </w:pPr>
          </w:p>
        </w:tc>
      </w:tr>
      <w:tr w14:paraId="079898F1">
        <w:tblPrEx>
          <w:tblCellMar>
            <w:top w:w="0" w:type="dxa"/>
            <w:left w:w="0" w:type="dxa"/>
            <w:bottom w:w="0" w:type="dxa"/>
            <w:right w:w="0" w:type="dxa"/>
          </w:tblCellMar>
        </w:tblPrEx>
        <w:trPr>
          <w:trHeight w:val="90" w:hRule="atLeast"/>
        </w:trPr>
        <w:tc>
          <w:tcPr>
            <w:tcW w:w="85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CDFBA39">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法人代表</w:t>
            </w:r>
          </w:p>
        </w:tc>
        <w:tc>
          <w:tcPr>
            <w:tcW w:w="653" w:type="pct"/>
            <w:tcBorders>
              <w:top w:val="nil"/>
              <w:left w:val="nil"/>
              <w:bottom w:val="single" w:color="auto" w:sz="6" w:space="0"/>
              <w:right w:val="single" w:color="auto" w:sz="6" w:space="0"/>
            </w:tcBorders>
            <w:tcMar>
              <w:top w:w="0" w:type="dxa"/>
              <w:left w:w="105" w:type="dxa"/>
              <w:bottom w:w="0" w:type="dxa"/>
              <w:right w:w="105" w:type="dxa"/>
            </w:tcMar>
          </w:tcPr>
          <w:p w14:paraId="52C343CC">
            <w:pPr>
              <w:spacing w:after="160" w:line="278" w:lineRule="auto"/>
              <w:rPr>
                <w:rFonts w:hint="eastAsia" w:ascii="仿宋_GB2312" w:hAnsi="仿宋_GB2312" w:eastAsia="仿宋_GB2312" w:cs="仿宋_GB2312"/>
                <w:sz w:val="22"/>
                <w:szCs w:val="28"/>
              </w:rPr>
            </w:pPr>
          </w:p>
        </w:tc>
        <w:tc>
          <w:tcPr>
            <w:tcW w:w="711"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7645339">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联系方式</w:t>
            </w:r>
          </w:p>
        </w:tc>
        <w:tc>
          <w:tcPr>
            <w:tcW w:w="2782" w:type="pct"/>
            <w:gridSpan w:val="2"/>
            <w:tcBorders>
              <w:top w:val="single" w:color="auto" w:sz="6" w:space="0"/>
              <w:left w:val="nil"/>
              <w:bottom w:val="single" w:color="auto" w:sz="6" w:space="0"/>
              <w:right w:val="single" w:color="auto" w:sz="6" w:space="0"/>
            </w:tcBorders>
            <w:tcMar>
              <w:top w:w="0" w:type="dxa"/>
              <w:left w:w="105" w:type="dxa"/>
              <w:bottom w:w="0" w:type="dxa"/>
              <w:right w:w="105" w:type="dxa"/>
            </w:tcMar>
          </w:tcPr>
          <w:p w14:paraId="13AB4E34">
            <w:pPr>
              <w:spacing w:after="160" w:line="278" w:lineRule="auto"/>
              <w:rPr>
                <w:rFonts w:hint="eastAsia" w:ascii="仿宋_GB2312" w:hAnsi="仿宋_GB2312" w:eastAsia="仿宋_GB2312" w:cs="仿宋_GB2312"/>
                <w:sz w:val="22"/>
                <w:szCs w:val="28"/>
              </w:rPr>
            </w:pPr>
          </w:p>
        </w:tc>
      </w:tr>
      <w:tr w14:paraId="254DF344">
        <w:tblPrEx>
          <w:tblCellMar>
            <w:top w:w="0" w:type="dxa"/>
            <w:left w:w="0" w:type="dxa"/>
            <w:bottom w:w="0" w:type="dxa"/>
            <w:right w:w="0" w:type="dxa"/>
          </w:tblCellMar>
        </w:tblPrEx>
        <w:trPr>
          <w:trHeight w:val="90" w:hRule="atLeast"/>
        </w:trPr>
        <w:tc>
          <w:tcPr>
            <w:tcW w:w="85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12AB798">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联系人</w:t>
            </w:r>
          </w:p>
        </w:tc>
        <w:tc>
          <w:tcPr>
            <w:tcW w:w="653" w:type="pct"/>
            <w:tcBorders>
              <w:top w:val="nil"/>
              <w:left w:val="nil"/>
              <w:bottom w:val="single" w:color="auto" w:sz="6" w:space="0"/>
              <w:right w:val="single" w:color="auto" w:sz="6" w:space="0"/>
            </w:tcBorders>
            <w:tcMar>
              <w:top w:w="0" w:type="dxa"/>
              <w:left w:w="105" w:type="dxa"/>
              <w:bottom w:w="0" w:type="dxa"/>
              <w:right w:w="105" w:type="dxa"/>
            </w:tcMar>
          </w:tcPr>
          <w:p w14:paraId="79FD1428">
            <w:pPr>
              <w:spacing w:after="160" w:line="278" w:lineRule="auto"/>
              <w:rPr>
                <w:rFonts w:hint="eastAsia" w:ascii="仿宋_GB2312" w:hAnsi="仿宋_GB2312" w:eastAsia="仿宋_GB2312" w:cs="仿宋_GB2312"/>
                <w:sz w:val="22"/>
                <w:szCs w:val="28"/>
              </w:rPr>
            </w:pPr>
          </w:p>
        </w:tc>
        <w:tc>
          <w:tcPr>
            <w:tcW w:w="711" w:type="pct"/>
            <w:tcBorders>
              <w:top w:val="nil"/>
              <w:left w:val="nil"/>
              <w:bottom w:val="single" w:color="auto" w:sz="6" w:space="0"/>
              <w:right w:val="single" w:color="auto" w:sz="6" w:space="0"/>
            </w:tcBorders>
            <w:tcMar>
              <w:top w:w="0" w:type="dxa"/>
              <w:left w:w="105" w:type="dxa"/>
              <w:bottom w:w="0" w:type="dxa"/>
              <w:right w:w="105" w:type="dxa"/>
            </w:tcMar>
            <w:vAlign w:val="center"/>
          </w:tcPr>
          <w:p w14:paraId="439C1DFD">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联系方式</w:t>
            </w:r>
          </w:p>
        </w:tc>
        <w:tc>
          <w:tcPr>
            <w:tcW w:w="2782" w:type="pct"/>
            <w:gridSpan w:val="2"/>
            <w:tcBorders>
              <w:top w:val="nil"/>
              <w:left w:val="nil"/>
              <w:bottom w:val="single" w:color="auto" w:sz="6" w:space="0"/>
              <w:right w:val="single" w:color="auto" w:sz="6" w:space="0"/>
            </w:tcBorders>
            <w:tcMar>
              <w:top w:w="0" w:type="dxa"/>
              <w:left w:w="105" w:type="dxa"/>
              <w:bottom w:w="0" w:type="dxa"/>
              <w:right w:w="105" w:type="dxa"/>
            </w:tcMar>
          </w:tcPr>
          <w:p w14:paraId="558FA593">
            <w:pPr>
              <w:spacing w:after="160" w:line="278" w:lineRule="auto"/>
              <w:rPr>
                <w:rFonts w:hint="eastAsia" w:ascii="仿宋_GB2312" w:hAnsi="仿宋_GB2312" w:eastAsia="仿宋_GB2312" w:cs="仿宋_GB2312"/>
                <w:sz w:val="22"/>
                <w:szCs w:val="28"/>
              </w:rPr>
            </w:pPr>
          </w:p>
        </w:tc>
      </w:tr>
      <w:tr w14:paraId="79C99EC8">
        <w:tblPrEx>
          <w:tblCellMar>
            <w:top w:w="0" w:type="dxa"/>
            <w:left w:w="0" w:type="dxa"/>
            <w:bottom w:w="0" w:type="dxa"/>
            <w:right w:w="0" w:type="dxa"/>
          </w:tblCellMar>
        </w:tblPrEx>
        <w:trPr>
          <w:trHeight w:val="90" w:hRule="atLeast"/>
        </w:trPr>
        <w:tc>
          <w:tcPr>
            <w:tcW w:w="85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4B64C4D">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主营业务</w:t>
            </w:r>
          </w:p>
        </w:tc>
        <w:tc>
          <w:tcPr>
            <w:tcW w:w="653" w:type="pct"/>
            <w:tcBorders>
              <w:top w:val="nil"/>
              <w:left w:val="nil"/>
              <w:bottom w:val="single" w:color="auto" w:sz="6" w:space="0"/>
              <w:right w:val="single" w:color="auto" w:sz="6" w:space="0"/>
            </w:tcBorders>
            <w:tcMar>
              <w:top w:w="0" w:type="dxa"/>
              <w:left w:w="105" w:type="dxa"/>
              <w:bottom w:w="0" w:type="dxa"/>
              <w:right w:w="105" w:type="dxa"/>
            </w:tcMar>
          </w:tcPr>
          <w:p w14:paraId="6D7D417F">
            <w:pPr>
              <w:spacing w:after="160" w:line="278" w:lineRule="auto"/>
              <w:rPr>
                <w:rFonts w:hint="eastAsia" w:ascii="仿宋_GB2312" w:hAnsi="仿宋_GB2312" w:eastAsia="仿宋_GB2312" w:cs="仿宋_GB2312"/>
                <w:sz w:val="22"/>
                <w:szCs w:val="28"/>
              </w:rPr>
            </w:pPr>
          </w:p>
        </w:tc>
        <w:tc>
          <w:tcPr>
            <w:tcW w:w="711" w:type="pct"/>
            <w:tcBorders>
              <w:top w:val="nil"/>
              <w:left w:val="nil"/>
              <w:bottom w:val="single" w:color="auto" w:sz="6" w:space="0"/>
              <w:right w:val="single" w:color="auto" w:sz="6" w:space="0"/>
            </w:tcBorders>
            <w:tcMar>
              <w:top w:w="0" w:type="dxa"/>
              <w:left w:w="105" w:type="dxa"/>
              <w:bottom w:w="0" w:type="dxa"/>
              <w:right w:w="105" w:type="dxa"/>
            </w:tcMar>
            <w:vAlign w:val="center"/>
          </w:tcPr>
          <w:p w14:paraId="016011F5">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注册资金</w:t>
            </w:r>
          </w:p>
        </w:tc>
        <w:tc>
          <w:tcPr>
            <w:tcW w:w="2782" w:type="pct"/>
            <w:gridSpan w:val="2"/>
            <w:tcBorders>
              <w:top w:val="nil"/>
              <w:left w:val="nil"/>
              <w:bottom w:val="single" w:color="auto" w:sz="6" w:space="0"/>
              <w:right w:val="single" w:color="auto" w:sz="6" w:space="0"/>
            </w:tcBorders>
            <w:tcMar>
              <w:top w:w="0" w:type="dxa"/>
              <w:left w:w="105" w:type="dxa"/>
              <w:bottom w:w="0" w:type="dxa"/>
              <w:right w:w="105" w:type="dxa"/>
            </w:tcMar>
          </w:tcPr>
          <w:p w14:paraId="6D317AFD">
            <w:pPr>
              <w:spacing w:after="160" w:line="278" w:lineRule="auto"/>
              <w:ind w:firstLine="440" w:firstLineChars="200"/>
              <w:jc w:val="left"/>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万元</w:t>
            </w:r>
          </w:p>
        </w:tc>
      </w:tr>
      <w:tr w14:paraId="220609DA">
        <w:tblPrEx>
          <w:tblCellMar>
            <w:top w:w="0" w:type="dxa"/>
            <w:left w:w="0" w:type="dxa"/>
            <w:bottom w:w="0" w:type="dxa"/>
            <w:right w:w="0" w:type="dxa"/>
          </w:tblCellMar>
        </w:tblPrEx>
        <w:trPr>
          <w:trHeight w:val="105" w:hRule="atLeast"/>
        </w:trPr>
        <w:tc>
          <w:tcPr>
            <w:tcW w:w="85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CD02E4C">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计划入驻人数</w:t>
            </w:r>
          </w:p>
        </w:tc>
        <w:tc>
          <w:tcPr>
            <w:tcW w:w="653" w:type="pct"/>
            <w:tcBorders>
              <w:top w:val="nil"/>
              <w:left w:val="nil"/>
              <w:bottom w:val="single" w:color="auto" w:sz="6" w:space="0"/>
              <w:right w:val="single" w:color="auto" w:sz="6" w:space="0"/>
            </w:tcBorders>
            <w:tcMar>
              <w:top w:w="0" w:type="dxa"/>
              <w:left w:w="105" w:type="dxa"/>
              <w:bottom w:w="0" w:type="dxa"/>
              <w:right w:w="105" w:type="dxa"/>
            </w:tcMar>
            <w:vAlign w:val="center"/>
          </w:tcPr>
          <w:p w14:paraId="126CE288">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人</w:t>
            </w:r>
          </w:p>
        </w:tc>
        <w:tc>
          <w:tcPr>
            <w:tcW w:w="711" w:type="pct"/>
            <w:tcBorders>
              <w:top w:val="nil"/>
              <w:left w:val="nil"/>
              <w:bottom w:val="single" w:color="auto" w:sz="6" w:space="0"/>
              <w:right w:val="single" w:color="auto" w:sz="6" w:space="0"/>
            </w:tcBorders>
            <w:tcMar>
              <w:top w:w="0" w:type="dxa"/>
              <w:left w:w="105" w:type="dxa"/>
              <w:bottom w:w="0" w:type="dxa"/>
              <w:right w:w="105" w:type="dxa"/>
            </w:tcMar>
            <w:vAlign w:val="center"/>
          </w:tcPr>
          <w:p w14:paraId="2743E6B6">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需要面积</w:t>
            </w:r>
          </w:p>
        </w:tc>
        <w:tc>
          <w:tcPr>
            <w:tcW w:w="2782" w:type="pct"/>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23247F0D">
            <w:pPr>
              <w:spacing w:after="160" w:line="278" w:lineRule="auto"/>
              <w:ind w:firstLine="660" w:firstLineChars="30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w:t>
            </w:r>
          </w:p>
        </w:tc>
      </w:tr>
      <w:tr w14:paraId="570B05F0">
        <w:tblPrEx>
          <w:tblCellMar>
            <w:top w:w="0" w:type="dxa"/>
            <w:left w:w="0" w:type="dxa"/>
            <w:bottom w:w="0" w:type="dxa"/>
            <w:right w:w="0" w:type="dxa"/>
          </w:tblCellMar>
        </w:tblPrEx>
        <w:trPr>
          <w:trHeight w:val="105" w:hRule="atLeast"/>
        </w:trPr>
        <w:tc>
          <w:tcPr>
            <w:tcW w:w="85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C80C818">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上年度营业额</w:t>
            </w:r>
          </w:p>
        </w:tc>
        <w:tc>
          <w:tcPr>
            <w:tcW w:w="653" w:type="pct"/>
            <w:tcBorders>
              <w:top w:val="nil"/>
              <w:left w:val="nil"/>
              <w:bottom w:val="single" w:color="auto" w:sz="6" w:space="0"/>
              <w:right w:val="single" w:color="auto" w:sz="6" w:space="0"/>
            </w:tcBorders>
            <w:tcMar>
              <w:top w:w="0" w:type="dxa"/>
              <w:left w:w="105" w:type="dxa"/>
              <w:bottom w:w="0" w:type="dxa"/>
              <w:right w:w="105" w:type="dxa"/>
            </w:tcMar>
            <w:vAlign w:val="center"/>
          </w:tcPr>
          <w:p w14:paraId="4B5A4E26">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万元</w:t>
            </w:r>
          </w:p>
        </w:tc>
        <w:tc>
          <w:tcPr>
            <w:tcW w:w="711" w:type="pct"/>
            <w:tcBorders>
              <w:top w:val="nil"/>
              <w:left w:val="nil"/>
              <w:bottom w:val="single" w:color="auto" w:sz="6" w:space="0"/>
              <w:right w:val="single" w:color="auto" w:sz="6" w:space="0"/>
            </w:tcBorders>
            <w:tcMar>
              <w:top w:w="0" w:type="dxa"/>
              <w:left w:w="105" w:type="dxa"/>
              <w:bottom w:w="0" w:type="dxa"/>
              <w:right w:w="105" w:type="dxa"/>
            </w:tcMar>
            <w:vAlign w:val="center"/>
          </w:tcPr>
          <w:p w14:paraId="123C0CDA">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上年度创税</w:t>
            </w:r>
          </w:p>
        </w:tc>
        <w:tc>
          <w:tcPr>
            <w:tcW w:w="2782" w:type="pct"/>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08FE63D3">
            <w:pPr>
              <w:spacing w:after="160" w:line="278" w:lineRule="auto"/>
              <w:ind w:firstLine="440" w:firstLineChars="20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万元</w:t>
            </w:r>
          </w:p>
        </w:tc>
      </w:tr>
      <w:tr w14:paraId="2748540E">
        <w:tblPrEx>
          <w:tblCellMar>
            <w:top w:w="0" w:type="dxa"/>
            <w:left w:w="0" w:type="dxa"/>
            <w:bottom w:w="0" w:type="dxa"/>
            <w:right w:w="0" w:type="dxa"/>
          </w:tblCellMar>
        </w:tblPrEx>
        <w:trPr>
          <w:trHeight w:val="90" w:hRule="atLeast"/>
        </w:trPr>
        <w:tc>
          <w:tcPr>
            <w:tcW w:w="85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FEABBCF">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营业额占比</w:t>
            </w:r>
          </w:p>
        </w:tc>
        <w:tc>
          <w:tcPr>
            <w:tcW w:w="653" w:type="pct"/>
            <w:tcBorders>
              <w:top w:val="nil"/>
              <w:left w:val="nil"/>
              <w:bottom w:val="single" w:color="auto" w:sz="6" w:space="0"/>
              <w:right w:val="single" w:color="auto" w:sz="6" w:space="0"/>
            </w:tcBorders>
            <w:tcMar>
              <w:top w:w="0" w:type="dxa"/>
              <w:left w:w="105" w:type="dxa"/>
              <w:bottom w:w="0" w:type="dxa"/>
              <w:right w:w="105" w:type="dxa"/>
            </w:tcMar>
            <w:vAlign w:val="center"/>
          </w:tcPr>
          <w:p w14:paraId="099EC98F">
            <w:pPr>
              <w:spacing w:after="160" w:line="278" w:lineRule="auto"/>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w:t>
            </w:r>
          </w:p>
        </w:tc>
        <w:tc>
          <w:tcPr>
            <w:tcW w:w="711" w:type="pct"/>
            <w:tcBorders>
              <w:top w:val="nil"/>
              <w:left w:val="nil"/>
              <w:bottom w:val="single" w:color="auto" w:sz="6" w:space="0"/>
              <w:right w:val="single" w:color="auto" w:sz="6" w:space="0"/>
            </w:tcBorders>
            <w:tcMar>
              <w:top w:w="0" w:type="dxa"/>
              <w:left w:w="105" w:type="dxa"/>
              <w:bottom w:w="0" w:type="dxa"/>
              <w:right w:w="105" w:type="dxa"/>
            </w:tcMar>
            <w:vAlign w:val="center"/>
          </w:tcPr>
          <w:p w14:paraId="33AB6821">
            <w:pPr>
              <w:spacing w:after="160" w:line="278" w:lineRule="auto"/>
              <w:jc w:val="left"/>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单位网址</w:t>
            </w:r>
          </w:p>
        </w:tc>
        <w:tc>
          <w:tcPr>
            <w:tcW w:w="2782" w:type="pct"/>
            <w:gridSpan w:val="2"/>
            <w:tcBorders>
              <w:top w:val="nil"/>
              <w:left w:val="nil"/>
              <w:bottom w:val="single" w:color="auto" w:sz="6" w:space="0"/>
              <w:right w:val="single" w:color="auto" w:sz="6" w:space="0"/>
            </w:tcBorders>
            <w:tcMar>
              <w:top w:w="0" w:type="dxa"/>
              <w:left w:w="105" w:type="dxa"/>
              <w:bottom w:w="0" w:type="dxa"/>
              <w:right w:w="105" w:type="dxa"/>
            </w:tcMar>
          </w:tcPr>
          <w:p w14:paraId="4CA9B7E2">
            <w:pPr>
              <w:spacing w:after="160" w:line="278" w:lineRule="auto"/>
              <w:rPr>
                <w:rFonts w:hint="eastAsia" w:ascii="仿宋_GB2312" w:hAnsi="仿宋_GB2312" w:eastAsia="仿宋_GB2312" w:cs="仿宋_GB2312"/>
                <w:sz w:val="22"/>
                <w:szCs w:val="28"/>
              </w:rPr>
            </w:pPr>
          </w:p>
        </w:tc>
      </w:tr>
      <w:tr w14:paraId="15334F87">
        <w:tblPrEx>
          <w:tblCellMar>
            <w:top w:w="0" w:type="dxa"/>
            <w:left w:w="0" w:type="dxa"/>
            <w:bottom w:w="0" w:type="dxa"/>
            <w:right w:w="0" w:type="dxa"/>
          </w:tblCellMar>
        </w:tblPrEx>
        <w:trPr>
          <w:trHeight w:val="1950" w:hRule="atLeast"/>
        </w:trPr>
        <w:tc>
          <w:tcPr>
            <w:tcW w:w="5000" w:type="pct"/>
            <w:gridSpan w:val="5"/>
            <w:tcBorders>
              <w:top w:val="nil"/>
              <w:left w:val="single" w:color="auto" w:sz="6" w:space="0"/>
              <w:bottom w:val="single" w:color="auto" w:sz="6" w:space="0"/>
              <w:right w:val="single" w:color="auto" w:sz="6" w:space="0"/>
            </w:tcBorders>
            <w:tcMar>
              <w:top w:w="0" w:type="dxa"/>
              <w:left w:w="105" w:type="dxa"/>
              <w:bottom w:w="0" w:type="dxa"/>
              <w:right w:w="105" w:type="dxa"/>
            </w:tcMar>
          </w:tcPr>
          <w:p w14:paraId="1D10C5C0">
            <w:pPr>
              <w:spacing w:after="160" w:line="278" w:lineRule="auto"/>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承诺申明：</w:t>
            </w:r>
          </w:p>
          <w:p w14:paraId="1DE6DAA4">
            <w:pPr>
              <w:spacing w:after="160" w:line="278" w:lineRule="auto"/>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本公司提供的资料真实有效，如有资料与事实不符，一切责任由本公司自行承担。</w:t>
            </w:r>
          </w:p>
          <w:p w14:paraId="5245D374">
            <w:pPr>
              <w:wordWrap w:val="0"/>
              <w:spacing w:after="160" w:line="278" w:lineRule="auto"/>
              <w:jc w:val="right"/>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 xml:space="preserve">承诺人：            </w:t>
            </w:r>
          </w:p>
          <w:p w14:paraId="47406D04">
            <w:pPr>
              <w:wordWrap w:val="0"/>
              <w:spacing w:after="160" w:line="278" w:lineRule="auto"/>
              <w:jc w:val="right"/>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 xml:space="preserve">年  月  日          </w:t>
            </w:r>
          </w:p>
        </w:tc>
      </w:tr>
      <w:tr w14:paraId="19A825D0">
        <w:tblPrEx>
          <w:tblCellMar>
            <w:top w:w="0" w:type="dxa"/>
            <w:left w:w="0" w:type="dxa"/>
            <w:bottom w:w="0" w:type="dxa"/>
            <w:right w:w="0" w:type="dxa"/>
          </w:tblCellMar>
        </w:tblPrEx>
        <w:trPr>
          <w:trHeight w:val="1887" w:hRule="atLeast"/>
        </w:trPr>
        <w:tc>
          <w:tcPr>
            <w:tcW w:w="5000" w:type="pct"/>
            <w:gridSpan w:val="5"/>
            <w:tcBorders>
              <w:top w:val="nil"/>
              <w:left w:val="single" w:color="auto" w:sz="6" w:space="0"/>
              <w:bottom w:val="single" w:color="auto" w:sz="6" w:space="0"/>
              <w:right w:val="single" w:color="auto" w:sz="6" w:space="0"/>
            </w:tcBorders>
            <w:tcMar>
              <w:top w:w="0" w:type="dxa"/>
              <w:left w:w="105" w:type="dxa"/>
              <w:bottom w:w="0" w:type="dxa"/>
              <w:right w:w="105" w:type="dxa"/>
            </w:tcMar>
          </w:tcPr>
          <w:p w14:paraId="440B902E">
            <w:pPr>
              <w:spacing w:after="160" w:line="278" w:lineRule="auto"/>
              <w:jc w:val="left"/>
              <w:rPr>
                <w:rFonts w:hint="eastAsia" w:ascii="仿宋_GB2312" w:hAnsi="仿宋_GB2312" w:eastAsia="仿宋_GB2312" w:cs="仿宋_GB2312"/>
                <w:sz w:val="22"/>
                <w:szCs w:val="28"/>
              </w:rPr>
            </w:pPr>
          </w:p>
          <w:p w14:paraId="52CDD3D8">
            <w:pPr>
              <w:wordWrap w:val="0"/>
              <w:spacing w:after="160" w:line="278" w:lineRule="auto"/>
              <w:jc w:val="right"/>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 xml:space="preserve">申请单位（盖章）：        </w:t>
            </w:r>
          </w:p>
          <w:p w14:paraId="4CE4C177">
            <w:pPr>
              <w:wordWrap w:val="0"/>
              <w:spacing w:after="160" w:line="278" w:lineRule="auto"/>
              <w:jc w:val="right"/>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 xml:space="preserve">负责人（签字）：         </w:t>
            </w:r>
          </w:p>
          <w:p w14:paraId="1B70C18B">
            <w:pPr>
              <w:wordWrap w:val="0"/>
              <w:spacing w:after="160" w:line="278" w:lineRule="auto"/>
              <w:jc w:val="right"/>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 xml:space="preserve">    年  月  日      </w:t>
            </w:r>
          </w:p>
        </w:tc>
      </w:tr>
      <w:tr w14:paraId="3F8E2D68">
        <w:tblPrEx>
          <w:tblCellMar>
            <w:top w:w="0" w:type="dxa"/>
            <w:left w:w="0" w:type="dxa"/>
            <w:bottom w:w="0" w:type="dxa"/>
            <w:right w:w="0" w:type="dxa"/>
          </w:tblCellMar>
        </w:tblPrEx>
        <w:trPr>
          <w:trHeight w:val="150" w:hRule="atLeast"/>
        </w:trPr>
        <w:tc>
          <w:tcPr>
            <w:tcW w:w="2381" w:type="pct"/>
            <w:gridSpan w:val="4"/>
            <w:tcBorders>
              <w:top w:val="nil"/>
              <w:left w:val="single" w:color="auto" w:sz="6" w:space="0"/>
              <w:bottom w:val="single" w:color="auto" w:sz="6" w:space="0"/>
              <w:right w:val="single" w:color="auto" w:sz="6" w:space="0"/>
            </w:tcBorders>
            <w:tcMar>
              <w:top w:w="0" w:type="dxa"/>
              <w:left w:w="105" w:type="dxa"/>
              <w:bottom w:w="0" w:type="dxa"/>
              <w:right w:w="105" w:type="dxa"/>
            </w:tcMar>
          </w:tcPr>
          <w:p w14:paraId="70096D9F">
            <w:pPr>
              <w:spacing w:after="160" w:line="278" w:lineRule="auto"/>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运营公司审批意见：</w:t>
            </w:r>
          </w:p>
          <w:p w14:paraId="2AE7B6B4">
            <w:pPr>
              <w:spacing w:after="160" w:line="278" w:lineRule="auto"/>
              <w:rPr>
                <w:rFonts w:hint="eastAsia" w:ascii="仿宋_GB2312" w:hAnsi="仿宋_GB2312" w:eastAsia="仿宋_GB2312" w:cs="仿宋_GB2312"/>
                <w:sz w:val="22"/>
                <w:szCs w:val="28"/>
              </w:rPr>
            </w:pPr>
          </w:p>
          <w:p w14:paraId="2B6CF070">
            <w:pPr>
              <w:spacing w:after="160" w:line="278" w:lineRule="auto"/>
              <w:ind w:firstLine="1100" w:firstLineChars="50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负责人：</w:t>
            </w:r>
          </w:p>
          <w:p w14:paraId="435EB6D8">
            <w:pPr>
              <w:spacing w:after="160" w:line="278" w:lineRule="auto"/>
              <w:ind w:firstLine="1100" w:firstLineChars="500"/>
              <w:jc w:val="left"/>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年  月  日</w:t>
            </w:r>
          </w:p>
        </w:tc>
        <w:tc>
          <w:tcPr>
            <w:tcW w:w="2618" w:type="pct"/>
            <w:tcBorders>
              <w:top w:val="single" w:color="auto" w:sz="6" w:space="0"/>
              <w:left w:val="nil"/>
              <w:bottom w:val="single" w:color="auto" w:sz="6" w:space="0"/>
              <w:right w:val="single" w:color="auto" w:sz="6" w:space="0"/>
            </w:tcBorders>
            <w:tcMar>
              <w:top w:w="0" w:type="dxa"/>
              <w:left w:w="105" w:type="dxa"/>
              <w:bottom w:w="0" w:type="dxa"/>
              <w:right w:w="105" w:type="dxa"/>
            </w:tcMar>
          </w:tcPr>
          <w:p w14:paraId="3F4F847D">
            <w:pPr>
              <w:spacing w:after="160" w:line="278" w:lineRule="auto"/>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主管部门审批意见：</w:t>
            </w:r>
          </w:p>
          <w:p w14:paraId="445D7E09">
            <w:pPr>
              <w:spacing w:after="160" w:line="278" w:lineRule="auto"/>
              <w:rPr>
                <w:rFonts w:hint="eastAsia" w:ascii="仿宋_GB2312" w:hAnsi="仿宋_GB2312" w:eastAsia="仿宋_GB2312" w:cs="仿宋_GB2312"/>
                <w:sz w:val="22"/>
                <w:szCs w:val="28"/>
              </w:rPr>
            </w:pPr>
          </w:p>
          <w:p w14:paraId="733B01E1">
            <w:pPr>
              <w:spacing w:after="160" w:line="278" w:lineRule="auto"/>
              <w:ind w:firstLine="3300" w:firstLineChars="1500"/>
              <w:jc w:val="left"/>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负责人：</w:t>
            </w:r>
          </w:p>
          <w:p w14:paraId="1260D02D">
            <w:pPr>
              <w:spacing w:after="160" w:line="278" w:lineRule="auto"/>
              <w:ind w:firstLine="3300" w:firstLineChars="1500"/>
              <w:jc w:val="left"/>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年  月  日</w:t>
            </w:r>
          </w:p>
        </w:tc>
      </w:tr>
    </w:tbl>
    <w:p w14:paraId="0AF1752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南丹县有色金属产业人力资源服务分园</w:t>
      </w:r>
    </w:p>
    <w:p w14:paraId="1D9FDB86">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入园申请表</w:t>
      </w:r>
    </w:p>
    <w:p w14:paraId="4B5161F2">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4F1E690">
      <w:pPr>
        <w:spacing w:line="560" w:lineRule="exact"/>
        <w:jc w:val="center"/>
        <w:rPr>
          <w:rFonts w:hint="eastAsia" w:ascii="方正小标宋简体" w:hAnsi="方正小标宋简体" w:eastAsia="方正小标宋简体" w:cs="方正小标宋简体"/>
          <w:sz w:val="44"/>
          <w:szCs w:val="44"/>
        </w:rPr>
      </w:pPr>
    </w:p>
    <w:p w14:paraId="1325A259">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南丹县有色金属产业人力资源服务分园</w:t>
      </w:r>
    </w:p>
    <w:p w14:paraId="6FB0C52C">
      <w:pPr>
        <w:spacing w:line="560" w:lineRule="exact"/>
        <w:jc w:val="center"/>
        <w:rPr>
          <w:rFonts w:hint="eastAsia" w:ascii="黑体" w:hAnsi="黑体" w:eastAsia="黑体" w:cs="仿宋_GB2312"/>
          <w:sz w:val="44"/>
          <w:szCs w:val="44"/>
        </w:rPr>
      </w:pPr>
      <w:r>
        <w:rPr>
          <w:rFonts w:hint="eastAsia" w:ascii="方正小标宋简体" w:hAnsi="方正小标宋简体" w:eastAsia="方正小标宋简体" w:cs="方正小标宋简体"/>
          <w:sz w:val="44"/>
          <w:szCs w:val="44"/>
        </w:rPr>
        <w:t>入园须知</w:t>
      </w:r>
    </w:p>
    <w:p w14:paraId="5103FDBC">
      <w:pPr>
        <w:spacing w:line="560" w:lineRule="exact"/>
        <w:ind w:firstLine="649" w:firstLineChars="203"/>
        <w:rPr>
          <w:rFonts w:hint="eastAsia" w:ascii="仿宋_GB2312" w:hAnsi="仿宋_GB2312" w:eastAsia="仿宋_GB2312" w:cs="仿宋_GB2312"/>
          <w:sz w:val="32"/>
        </w:rPr>
      </w:pPr>
    </w:p>
    <w:p w14:paraId="394E6115">
      <w:pPr>
        <w:spacing w:line="560" w:lineRule="exact"/>
        <w:ind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第一条 入园对象</w:t>
      </w:r>
    </w:p>
    <w:p w14:paraId="0595014E">
      <w:pPr>
        <w:spacing w:line="560" w:lineRule="exact"/>
        <w:ind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（一）国内外人力资源服务企业；</w:t>
      </w:r>
    </w:p>
    <w:p w14:paraId="5AAD55A8">
      <w:pPr>
        <w:spacing w:line="560" w:lineRule="exact"/>
        <w:ind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（二）主营人力资源业务及人力资源服务行业上下游企业/创业团队。</w:t>
      </w:r>
    </w:p>
    <w:p w14:paraId="219BF85B">
      <w:pPr>
        <w:spacing w:line="560" w:lineRule="exact"/>
        <w:ind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第二条 入园条件</w:t>
      </w:r>
    </w:p>
    <w:p w14:paraId="644888F8">
      <w:pPr>
        <w:spacing w:line="560" w:lineRule="exact"/>
        <w:ind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（一）入园企业申请入驻面积需与实际缴纳社保人数匹配（原则上不超过</w:t>
      </w:r>
      <w:r>
        <w:rPr>
          <w:rFonts w:hint="eastAsia" w:ascii="Times New Roman" w:hAnsi="Times New Roman" w:eastAsia="仿宋_GB2312" w:cs="仿宋_GB2312"/>
          <w:sz w:val="32"/>
        </w:rPr>
        <w:t>15</w:t>
      </w:r>
      <w:r>
        <w:rPr>
          <w:rFonts w:hint="eastAsia" w:ascii="微软雅黑" w:hAnsi="微软雅黑" w:eastAsia="微软雅黑" w:cs="微软雅黑"/>
          <w:sz w:val="32"/>
        </w:rPr>
        <w:t>㎡</w:t>
      </w:r>
      <w:r>
        <w:rPr>
          <w:rFonts w:hint="eastAsia" w:ascii="仿宋_GB2312" w:hAnsi="仿宋_GB2312" w:eastAsia="仿宋_GB2312" w:cs="仿宋_GB2312"/>
          <w:sz w:val="32"/>
        </w:rPr>
        <w:t>/人）。</w:t>
      </w:r>
    </w:p>
    <w:p w14:paraId="0936C946">
      <w:pPr>
        <w:spacing w:line="560" w:lineRule="exact"/>
        <w:ind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（二）申请入园企业符合入园条件，且无违法违纪、无不良信誉记录，经运营公司及主管部门审核通过方可入驻产业园。</w:t>
      </w:r>
    </w:p>
    <w:p w14:paraId="7B4E6A6A">
      <w:pPr>
        <w:spacing w:line="560" w:lineRule="exact"/>
        <w:ind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（三）已注册企业可工商迁移入驻。</w:t>
      </w:r>
    </w:p>
    <w:p w14:paraId="08F5FE67">
      <w:pPr>
        <w:spacing w:line="560" w:lineRule="exact"/>
        <w:ind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第三条 入园流程</w:t>
      </w:r>
    </w:p>
    <w:p w14:paraId="024AECC0">
      <w:pPr>
        <w:spacing w:line="560" w:lineRule="exact"/>
        <w:ind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（一）申请受理：拟入园企业向运营公司提供以下审查材料：</w:t>
      </w:r>
    </w:p>
    <w:p w14:paraId="32FBC301">
      <w:pPr>
        <w:spacing w:line="560" w:lineRule="exact"/>
        <w:ind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1</w:t>
      </w:r>
      <w:r>
        <w:rPr>
          <w:rFonts w:hint="eastAsia" w:ascii="仿宋_GB2312" w:hAnsi="仿宋_GB2312" w:eastAsia="仿宋_GB2312" w:cs="仿宋_GB2312"/>
          <w:sz w:val="32"/>
        </w:rPr>
        <w:t>.入园申请表（含承诺声明）；</w:t>
      </w:r>
    </w:p>
    <w:p w14:paraId="444419F5">
      <w:pPr>
        <w:spacing w:line="560" w:lineRule="exact"/>
        <w:ind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2</w:t>
      </w:r>
      <w:r>
        <w:rPr>
          <w:rFonts w:hint="eastAsia" w:ascii="仿宋_GB2312" w:hAnsi="仿宋_GB2312" w:eastAsia="仿宋_GB2312" w:cs="仿宋_GB2312"/>
          <w:sz w:val="32"/>
        </w:rPr>
        <w:t>.公司章程及项目计划书；</w:t>
      </w:r>
    </w:p>
    <w:p w14:paraId="4F6E0915">
      <w:pPr>
        <w:spacing w:line="560" w:lineRule="exact"/>
        <w:ind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3</w:t>
      </w:r>
      <w:r>
        <w:rPr>
          <w:rFonts w:hint="eastAsia" w:ascii="仿宋_GB2312" w:hAnsi="仿宋_GB2312" w:eastAsia="仿宋_GB2312" w:cs="仿宋_GB2312"/>
          <w:sz w:val="32"/>
        </w:rPr>
        <w:t>.企业法定代表人或股东身份证复印件；</w:t>
      </w:r>
    </w:p>
    <w:p w14:paraId="6C03EFDA">
      <w:pPr>
        <w:spacing w:line="560" w:lineRule="exact"/>
        <w:ind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4</w:t>
      </w:r>
      <w:r>
        <w:rPr>
          <w:rFonts w:hint="eastAsia" w:ascii="仿宋_GB2312" w:hAnsi="仿宋_GB2312" w:eastAsia="仿宋_GB2312" w:cs="仿宋_GB2312"/>
          <w:sz w:val="32"/>
        </w:rPr>
        <w:t>.营业执照正副本复印件；</w:t>
      </w:r>
    </w:p>
    <w:p w14:paraId="484ABDA6">
      <w:pPr>
        <w:spacing w:line="560" w:lineRule="exact"/>
        <w:ind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5</w:t>
      </w:r>
      <w:r>
        <w:rPr>
          <w:rFonts w:hint="eastAsia" w:ascii="仿宋_GB2312" w:hAnsi="仿宋_GB2312" w:eastAsia="仿宋_GB2312" w:cs="仿宋_GB2312"/>
          <w:sz w:val="32"/>
        </w:rPr>
        <w:t>.人力资源服务许可证、劳务派遣经营许可证等专业许可证复印件；</w:t>
      </w:r>
    </w:p>
    <w:p w14:paraId="659A115B">
      <w:pPr>
        <w:spacing w:line="560" w:lineRule="exact"/>
        <w:ind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6</w:t>
      </w:r>
      <w:r>
        <w:rPr>
          <w:rFonts w:hint="eastAsia" w:ascii="仿宋_GB2312" w:hAnsi="仿宋_GB2312" w:eastAsia="仿宋_GB2312" w:cs="仿宋_GB2312"/>
          <w:sz w:val="32"/>
        </w:rPr>
        <w:t>.上一年度或最新季度税务部门出具的缴税情况证明；</w:t>
      </w:r>
    </w:p>
    <w:p w14:paraId="6E779A1B">
      <w:pPr>
        <w:spacing w:line="560" w:lineRule="exact"/>
        <w:ind w:firstLine="649" w:firstLineChars="203"/>
        <w:rPr>
          <w:rFonts w:hint="eastAsia" w:ascii="仿宋_GB2312" w:hAnsi="仿宋_GB2312" w:eastAsia="仿宋_GB2312" w:cs="仿宋_GB2312"/>
          <w:color w:val="auto"/>
          <w:sz w:val="32"/>
        </w:rPr>
      </w:pPr>
      <w:r>
        <w:rPr>
          <w:rFonts w:hint="eastAsia" w:ascii="Times New Roman" w:hAnsi="Times New Roman" w:eastAsia="仿宋_GB2312" w:cs="仿宋_GB2312"/>
          <w:color w:val="auto"/>
          <w:sz w:val="32"/>
        </w:rPr>
        <w:t>7</w:t>
      </w:r>
      <w:r>
        <w:rPr>
          <w:rFonts w:hint="eastAsia" w:ascii="仿宋_GB2312" w:hAnsi="仿宋_GB2312" w:eastAsia="仿宋_GB2312" w:cs="仿宋_GB2312"/>
          <w:color w:val="auto"/>
          <w:sz w:val="32"/>
        </w:rPr>
        <w:t>.行业荣誉证明及其他辅佐性资料。</w:t>
      </w:r>
    </w:p>
    <w:p w14:paraId="7B8E24E8">
      <w:pPr>
        <w:spacing w:line="560" w:lineRule="exact"/>
        <w:ind w:firstLine="649" w:firstLineChars="203"/>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（二）资格审查：运营公司对提交资料进行审查，形成初步意见。</w:t>
      </w:r>
    </w:p>
    <w:p w14:paraId="7E0EBE1D">
      <w:pPr>
        <w:spacing w:line="560" w:lineRule="exact"/>
        <w:ind w:firstLine="649" w:firstLineChars="203"/>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（三）确定资格：主管部门对入驻企业进行资格审查，确定入驻资格。</w:t>
      </w:r>
    </w:p>
    <w:p w14:paraId="0C252768">
      <w:pPr>
        <w:spacing w:line="560" w:lineRule="exact"/>
        <w:ind w:firstLine="649" w:firstLineChars="203"/>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（四）签约入驻：核准入驻的企业在收到通知</w:t>
      </w:r>
      <w:r>
        <w:rPr>
          <w:rFonts w:hint="eastAsia" w:ascii="Times New Roman" w:hAnsi="Times New Roman" w:eastAsia="仿宋_GB2312" w:cs="仿宋_GB2312"/>
          <w:color w:val="auto"/>
          <w:sz w:val="32"/>
        </w:rPr>
        <w:t>15</w:t>
      </w:r>
      <w:r>
        <w:rPr>
          <w:rFonts w:hint="eastAsia" w:ascii="仿宋_GB2312" w:hAnsi="仿宋_GB2312" w:eastAsia="仿宋_GB2312" w:cs="仿宋_GB2312"/>
          <w:color w:val="auto"/>
          <w:sz w:val="32"/>
        </w:rPr>
        <w:t>个工作日内签订《入驻协议书》，并进行工商登记，自协议签订之日起一个月内完成工商税务登记/入场装修，否则取消入驻资格。</w:t>
      </w:r>
    </w:p>
    <w:p w14:paraId="750A65EC">
      <w:pPr>
        <w:spacing w:line="560" w:lineRule="exact"/>
        <w:ind w:firstLine="649" w:firstLineChars="203"/>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第四条 政策享受</w:t>
      </w:r>
    </w:p>
    <w:p w14:paraId="3C296C77">
      <w:pPr>
        <w:spacing w:line="560" w:lineRule="exact"/>
        <w:ind w:firstLine="649" w:firstLineChars="203"/>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（一）经审核入驻产业园的企业可享受办公场地租金与物业费全免政策，同一企业、同一法人只能享受一次租金和物业费减免政策。</w:t>
      </w:r>
    </w:p>
    <w:p w14:paraId="31C1495F">
      <w:pPr>
        <w:spacing w:line="560" w:lineRule="exact"/>
        <w:ind w:firstLine="649" w:firstLineChars="203"/>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（二）</w:t>
      </w:r>
      <w:r>
        <w:rPr>
          <w:rFonts w:ascii="仿宋_GB2312" w:eastAsia="仿宋_GB2312"/>
          <w:color w:val="auto"/>
          <w:sz w:val="32"/>
          <w:szCs w:val="32"/>
        </w:rPr>
        <w:t>支持产业园内的人力资源服务机构有序承接政府转移的人才引进、流动、服务等项目，按规定享受补贴；对吸纳重点群体就业的，按规定享受社会保险补贴；对为重点群体提供就业创业服务的，按规定享受就业创业服务补助；对开展就业见习的，按规定给予就业见习补贴</w:t>
      </w:r>
      <w:r>
        <w:rPr>
          <w:rFonts w:hint="eastAsia" w:ascii="仿宋_GB2312" w:eastAsia="仿宋_GB2312"/>
          <w:color w:val="auto"/>
          <w:sz w:val="32"/>
          <w:szCs w:val="32"/>
        </w:rPr>
        <w:t>。</w:t>
      </w:r>
    </w:p>
    <w:p w14:paraId="19D497BC">
      <w:pPr>
        <w:spacing w:line="560" w:lineRule="exact"/>
        <w:ind w:firstLine="649" w:firstLineChars="203"/>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第五条 入园制度</w:t>
      </w:r>
    </w:p>
    <w:p w14:paraId="7A526473">
      <w:pPr>
        <w:spacing w:line="560" w:lineRule="exact"/>
        <w:ind w:firstLine="649" w:firstLineChars="203"/>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（一）入驻企业如需装修办公场地，不得损坏建筑主体结构，不得擅自改变用途、转租、分租、转借、与他人调剂场地，装修时的安全责任由入驻企业自行承担。</w:t>
      </w:r>
    </w:p>
    <w:p w14:paraId="4D32EDA0">
      <w:pPr>
        <w:spacing w:line="560" w:lineRule="exact"/>
        <w:ind w:firstLine="649" w:firstLineChars="203"/>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（二）产业园公共区域的基础配套设施的日常维护和维修、日常保洁养护，由运营公司负责；办公区域的日常维护和维修、日常保洁养护由企业自行负责。</w:t>
      </w:r>
    </w:p>
    <w:p w14:paraId="1B6983C5">
      <w:pPr>
        <w:spacing w:line="560" w:lineRule="exact"/>
        <w:ind w:firstLine="649" w:firstLineChars="203"/>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（三）入驻企业租赁期所产生的水、电、通信等费用自行承担。</w:t>
      </w:r>
    </w:p>
    <w:p w14:paraId="44958719">
      <w:pPr>
        <w:spacing w:line="560" w:lineRule="exact"/>
        <w:ind w:firstLine="649" w:firstLineChars="203"/>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（四）入园企业需配合运营公司做好相关调研、考核、统计工作。</w:t>
      </w:r>
    </w:p>
    <w:p w14:paraId="4C7152CA">
      <w:pPr>
        <w:spacing w:line="560" w:lineRule="exact"/>
        <w:ind w:firstLine="649" w:firstLineChars="203"/>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第六条 其他</w:t>
      </w:r>
    </w:p>
    <w:p w14:paraId="20829F95">
      <w:pPr>
        <w:spacing w:line="560" w:lineRule="exact"/>
        <w:ind w:firstLine="649" w:firstLineChars="203"/>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本须知由南丹县</w:t>
      </w:r>
      <w:r>
        <w:rPr>
          <w:rFonts w:hint="eastAsia" w:ascii="仿宋_GB2312" w:hAnsi="仿宋_GB2312" w:eastAsia="仿宋_GB2312" w:cs="仿宋_GB2312"/>
          <w:color w:val="auto"/>
          <w:sz w:val="32"/>
          <w:lang w:val="en-US" w:eastAsia="zh-CN"/>
        </w:rPr>
        <w:t>有色金属产业</w:t>
      </w:r>
      <w:r>
        <w:rPr>
          <w:rFonts w:hint="eastAsia" w:ascii="仿宋_GB2312" w:hAnsi="仿宋_GB2312" w:eastAsia="仿宋_GB2312" w:cs="仿宋_GB2312"/>
          <w:color w:val="auto"/>
          <w:sz w:val="32"/>
        </w:rPr>
        <w:t>人力资源</w:t>
      </w:r>
      <w:r>
        <w:rPr>
          <w:rFonts w:hint="eastAsia" w:ascii="仿宋_GB2312" w:hAnsi="仿宋_GB2312" w:eastAsia="仿宋_GB2312" w:cs="仿宋_GB2312"/>
          <w:color w:val="auto"/>
          <w:sz w:val="32"/>
          <w:lang w:val="en-US" w:eastAsia="zh-CN"/>
        </w:rPr>
        <w:t>服务分园办公室</w:t>
      </w:r>
      <w:r>
        <w:rPr>
          <w:rFonts w:hint="eastAsia" w:ascii="仿宋_GB2312" w:hAnsi="仿宋_GB2312" w:eastAsia="仿宋_GB2312" w:cs="仿宋_GB2312"/>
          <w:color w:val="auto"/>
          <w:sz w:val="32"/>
        </w:rPr>
        <w:t>负责解释，一式三份，主管部门、运营公司和入园企业各保留一份。</w:t>
      </w:r>
    </w:p>
    <w:p w14:paraId="54611CAB">
      <w:pPr>
        <w:spacing w:line="560" w:lineRule="exact"/>
        <w:ind w:left="-10" w:firstLine="649" w:firstLineChars="203"/>
        <w:rPr>
          <w:rFonts w:hint="eastAsia" w:ascii="仿宋_GB2312" w:hAnsi="仿宋_GB2312" w:eastAsia="仿宋_GB2312" w:cs="仿宋_GB2312"/>
          <w:color w:val="auto"/>
          <w:sz w:val="32"/>
        </w:rPr>
      </w:pPr>
    </w:p>
    <w:p w14:paraId="68FC9AF5">
      <w:pPr>
        <w:spacing w:line="560" w:lineRule="exact"/>
        <w:ind w:left="-10" w:firstLine="649" w:firstLineChars="203"/>
        <w:rPr>
          <w:rFonts w:hint="eastAsia" w:ascii="仿宋_GB2312" w:hAnsi="仿宋_GB2312" w:eastAsia="仿宋_GB2312" w:cs="仿宋_GB2312"/>
          <w:color w:val="auto"/>
          <w:sz w:val="32"/>
        </w:rPr>
      </w:pPr>
    </w:p>
    <w:p w14:paraId="0CBE7763">
      <w:pPr>
        <w:spacing w:line="560" w:lineRule="exact"/>
        <w:ind w:left="-10" w:firstLine="649" w:firstLineChars="203"/>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 xml:space="preserve">        入园企业盖章（签字）：</w:t>
      </w:r>
    </w:p>
    <w:p w14:paraId="0A77DE3F">
      <w:pPr>
        <w:spacing w:line="560" w:lineRule="exact"/>
        <w:ind w:left="-10" w:firstLine="649" w:firstLineChars="203"/>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 xml:space="preserve">                       时间：</w:t>
      </w:r>
    </w:p>
    <w:p w14:paraId="4F80F010">
      <w:pPr>
        <w:spacing w:line="560" w:lineRule="exact"/>
        <w:ind w:left="-10" w:firstLine="649" w:firstLineChars="203"/>
        <w:rPr>
          <w:rFonts w:hint="eastAsia" w:ascii="仿宋_GB2312" w:hAnsi="仿宋_GB2312" w:eastAsia="仿宋_GB2312" w:cs="仿宋_GB2312"/>
          <w:color w:val="auto"/>
          <w:sz w:val="32"/>
        </w:rPr>
      </w:pPr>
    </w:p>
    <w:p w14:paraId="1CD37D40">
      <w:pPr>
        <w:spacing w:line="560" w:lineRule="exact"/>
        <w:ind w:left="-10" w:firstLine="649" w:firstLineChars="203"/>
        <w:rPr>
          <w:rFonts w:hint="eastAsia" w:ascii="仿宋_GB2312" w:hAnsi="仿宋_GB2312" w:eastAsia="仿宋_GB2312" w:cs="仿宋_GB2312"/>
          <w:color w:val="auto"/>
          <w:sz w:val="32"/>
        </w:rPr>
      </w:pPr>
    </w:p>
    <w:p w14:paraId="3FABA47F">
      <w:pPr>
        <w:spacing w:line="560" w:lineRule="exact"/>
        <w:ind w:left="-10" w:firstLine="649" w:firstLineChars="203"/>
        <w:rPr>
          <w:rFonts w:hint="eastAsia" w:ascii="仿宋_GB2312" w:hAnsi="仿宋_GB2312" w:eastAsia="仿宋_GB2312" w:cs="仿宋_GB2312"/>
          <w:color w:val="auto"/>
          <w:sz w:val="32"/>
        </w:rPr>
      </w:pPr>
    </w:p>
    <w:p w14:paraId="7C8072F6">
      <w:pPr>
        <w:spacing w:line="560" w:lineRule="exact"/>
        <w:ind w:left="-10" w:firstLine="649" w:firstLineChars="203"/>
        <w:rPr>
          <w:rFonts w:hint="eastAsia" w:ascii="仿宋_GB2312" w:hAnsi="仿宋_GB2312" w:eastAsia="仿宋_GB2312" w:cs="仿宋_GB2312"/>
          <w:color w:val="auto"/>
          <w:sz w:val="32"/>
        </w:rPr>
      </w:pPr>
    </w:p>
    <w:p w14:paraId="66E8AB87">
      <w:pPr>
        <w:spacing w:line="560" w:lineRule="exact"/>
        <w:ind w:left="-10" w:firstLine="649" w:firstLineChars="203"/>
        <w:rPr>
          <w:rFonts w:hint="eastAsia" w:ascii="仿宋_GB2312" w:hAnsi="仿宋_GB2312" w:eastAsia="仿宋_GB2312" w:cs="仿宋_GB2312"/>
          <w:sz w:val="32"/>
        </w:rPr>
      </w:pPr>
    </w:p>
    <w:p w14:paraId="4F45A012">
      <w:pPr>
        <w:spacing w:line="560" w:lineRule="exact"/>
        <w:ind w:left="-10" w:firstLine="649" w:firstLineChars="203"/>
        <w:rPr>
          <w:rFonts w:hint="eastAsia" w:ascii="仿宋_GB2312" w:hAnsi="仿宋_GB2312" w:eastAsia="仿宋_GB2312" w:cs="仿宋_GB2312"/>
          <w:sz w:val="32"/>
        </w:rPr>
      </w:pPr>
    </w:p>
    <w:p w14:paraId="1082B87C">
      <w:pPr>
        <w:spacing w:line="560" w:lineRule="exact"/>
        <w:ind w:left="-10" w:firstLine="649" w:firstLineChars="203"/>
        <w:rPr>
          <w:rFonts w:hint="eastAsia" w:ascii="仿宋_GB2312" w:hAnsi="仿宋_GB2312" w:eastAsia="仿宋_GB2312" w:cs="仿宋_GB2312"/>
          <w:sz w:val="32"/>
        </w:rPr>
      </w:pPr>
    </w:p>
    <w:p w14:paraId="5754659C">
      <w:pPr>
        <w:spacing w:line="560" w:lineRule="exact"/>
        <w:ind w:left="-10" w:firstLine="649" w:firstLineChars="203"/>
        <w:rPr>
          <w:rFonts w:hint="eastAsia" w:ascii="仿宋_GB2312" w:hAnsi="仿宋_GB2312" w:eastAsia="仿宋_GB2312" w:cs="仿宋_GB2312"/>
          <w:sz w:val="32"/>
        </w:rPr>
      </w:pPr>
    </w:p>
    <w:p w14:paraId="0B8DA643">
      <w:pPr>
        <w:spacing w:line="560" w:lineRule="exact"/>
        <w:ind w:left="-10" w:firstLine="649" w:firstLineChars="203"/>
        <w:rPr>
          <w:rFonts w:hint="eastAsia" w:ascii="仿宋_GB2312" w:hAnsi="仿宋_GB2312" w:eastAsia="仿宋_GB2312" w:cs="仿宋_GB2312"/>
          <w:sz w:val="32"/>
        </w:rPr>
      </w:pPr>
    </w:p>
    <w:p w14:paraId="13A253C9">
      <w:pPr>
        <w:spacing w:line="560" w:lineRule="exact"/>
        <w:ind w:left="-10" w:firstLine="649" w:firstLineChars="203"/>
        <w:rPr>
          <w:rFonts w:hint="eastAsia" w:ascii="仿宋_GB2312" w:hAnsi="仿宋_GB2312" w:eastAsia="仿宋_GB2312" w:cs="仿宋_GB2312"/>
          <w:sz w:val="32"/>
        </w:rPr>
      </w:pPr>
    </w:p>
    <w:p w14:paraId="2C05161C">
      <w:pPr>
        <w:spacing w:line="560" w:lineRule="exact"/>
        <w:ind w:left="-10" w:firstLine="649" w:firstLineChars="203"/>
        <w:rPr>
          <w:rFonts w:hint="eastAsia" w:ascii="仿宋_GB2312" w:hAnsi="仿宋_GB2312" w:eastAsia="仿宋_GB2312" w:cs="仿宋_GB2312"/>
          <w:sz w:val="32"/>
        </w:rPr>
      </w:pPr>
    </w:p>
    <w:p w14:paraId="796E3042">
      <w:pPr>
        <w:spacing w:line="560" w:lineRule="exact"/>
        <w:ind w:left="-10" w:firstLine="649" w:firstLineChars="203"/>
        <w:rPr>
          <w:rFonts w:hint="eastAsia" w:ascii="仿宋_GB2312" w:hAnsi="仿宋_GB2312" w:eastAsia="仿宋_GB2312" w:cs="仿宋_GB2312"/>
          <w:sz w:val="32"/>
        </w:rPr>
      </w:pPr>
    </w:p>
    <w:p w14:paraId="2230C866">
      <w:pPr>
        <w:spacing w:line="560" w:lineRule="exact"/>
        <w:ind w:left="-10" w:firstLine="649" w:firstLineChars="203"/>
        <w:rPr>
          <w:rFonts w:hint="eastAsia" w:ascii="仿宋_GB2312" w:hAnsi="仿宋_GB2312" w:eastAsia="仿宋_GB2312" w:cs="仿宋_GB2312"/>
          <w:sz w:val="32"/>
        </w:rPr>
      </w:pPr>
    </w:p>
    <w:p w14:paraId="1E869C2C">
      <w:pPr>
        <w:spacing w:line="560" w:lineRule="exact"/>
        <w:jc w:val="left"/>
        <w:rPr>
          <w:rFonts w:hint="eastAsia" w:ascii="黑体" w:hAnsi="黑体" w:eastAsia="黑体" w:cs="黑体"/>
          <w:sz w:val="32"/>
        </w:rPr>
      </w:pPr>
      <w:r>
        <w:rPr>
          <w:rFonts w:hint="eastAsia" w:ascii="黑体" w:hAnsi="黑体" w:eastAsia="黑体" w:cs="黑体"/>
          <w:sz w:val="32"/>
        </w:rPr>
        <w:t>附件3</w:t>
      </w:r>
    </w:p>
    <w:p w14:paraId="14F86F19">
      <w:pPr>
        <w:spacing w:line="560" w:lineRule="exact"/>
        <w:jc w:val="left"/>
        <w:rPr>
          <w:rFonts w:hint="eastAsia" w:ascii="仿宋_GB2312" w:hAnsi="仿宋_GB2312" w:eastAsia="仿宋_GB2312" w:cs="仿宋_GB2312"/>
          <w:sz w:val="32"/>
        </w:rPr>
      </w:pPr>
    </w:p>
    <w:p w14:paraId="3367BE38">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南丹县有色金属产业人力资源服务分园</w:t>
      </w:r>
    </w:p>
    <w:p w14:paraId="76CFEDDB">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入驻协议书</w:t>
      </w:r>
    </w:p>
    <w:p w14:paraId="329A9572">
      <w:pPr>
        <w:spacing w:line="540" w:lineRule="exact"/>
        <w:ind w:left="-10" w:firstLine="893" w:firstLineChars="203"/>
        <w:rPr>
          <w:rFonts w:hint="eastAsia" w:ascii="仿宋_GB2312" w:hAnsi="仿宋_GB2312" w:eastAsia="仿宋_GB2312" w:cs="仿宋_GB2312"/>
          <w:sz w:val="44"/>
          <w:szCs w:val="44"/>
        </w:rPr>
      </w:pPr>
    </w:p>
    <w:p w14:paraId="49BCF992">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合同编号：</w:t>
      </w:r>
    </w:p>
    <w:p w14:paraId="36541546">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 xml:space="preserve">甲方：                      </w:t>
      </w:r>
    </w:p>
    <w:p w14:paraId="79F92609">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 xml:space="preserve">乙方：                      </w:t>
      </w:r>
    </w:p>
    <w:p w14:paraId="088C6806">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根据《南丹县</w:t>
      </w:r>
      <w:r>
        <w:rPr>
          <w:rFonts w:hint="eastAsia" w:ascii="仿宋_GB2312" w:hAnsi="仿宋_GB2312" w:eastAsia="仿宋_GB2312" w:cs="仿宋_GB2312"/>
          <w:sz w:val="32"/>
          <w:lang w:eastAsia="zh-CN"/>
        </w:rPr>
        <w:t>有</w:t>
      </w:r>
      <w:r>
        <w:rPr>
          <w:rFonts w:hint="eastAsia" w:ascii="仿宋_GB2312" w:hAnsi="仿宋_GB2312" w:eastAsia="仿宋_GB2312" w:cs="仿宋_GB2312"/>
          <w:sz w:val="32"/>
        </w:rPr>
        <w:t>色金属人力资源服务产业分园管理办法》，经南丹县</w:t>
      </w:r>
      <w:r>
        <w:rPr>
          <w:rFonts w:hint="eastAsia" w:ascii="仿宋_GB2312" w:hAnsi="仿宋_GB2312" w:eastAsia="仿宋_GB2312" w:cs="仿宋_GB2312"/>
          <w:sz w:val="32"/>
          <w:lang w:val="en-US" w:eastAsia="zh-CN"/>
        </w:rPr>
        <w:t>有色金属产业</w:t>
      </w:r>
      <w:r>
        <w:rPr>
          <w:rFonts w:hint="eastAsia" w:ascii="仿宋_GB2312" w:hAnsi="仿宋_GB2312" w:eastAsia="仿宋_GB2312" w:cs="仿宋_GB2312"/>
          <w:sz w:val="32"/>
        </w:rPr>
        <w:t>人力资源</w:t>
      </w:r>
      <w:r>
        <w:rPr>
          <w:rFonts w:hint="eastAsia" w:ascii="仿宋_GB2312" w:hAnsi="仿宋_GB2312" w:eastAsia="仿宋_GB2312" w:cs="仿宋_GB2312"/>
          <w:sz w:val="32"/>
          <w:lang w:val="en-US" w:eastAsia="zh-CN"/>
        </w:rPr>
        <w:t>服务分园办公室</w:t>
      </w:r>
      <w:r>
        <w:rPr>
          <w:rFonts w:hint="eastAsia" w:ascii="仿宋_GB2312" w:hAnsi="仿宋_GB2312" w:eastAsia="仿宋_GB2312" w:cs="仿宋_GB2312"/>
          <w:sz w:val="32"/>
        </w:rPr>
        <w:t>审定，乙方           符合入园条件，同意其入驻，经双方协商，达成如下办公场地入驻协议：</w:t>
      </w:r>
    </w:p>
    <w:p w14:paraId="5C03FE59">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第一条 入驻办公场地位于                   ，     楼     室，间数   ，建筑面积     平方米。</w:t>
      </w:r>
    </w:p>
    <w:p w14:paraId="61E3D5D5">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第二条 入驻期限，从       年    月    日至      年    月    日，共计    年（大写）。</w:t>
      </w:r>
    </w:p>
    <w:p w14:paraId="22BD24D6">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第三条 落实《南丹县有色金属产业人力资源服务分园管理办法》相关优惠政策，确定在本合同期内给予租金物业费全免政策。</w:t>
      </w:r>
    </w:p>
    <w:p w14:paraId="1C577B9B">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第四条 场地交付及期限</w:t>
      </w:r>
    </w:p>
    <w:p w14:paraId="142F8155">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甲方应在收到乙方入驻保证金后</w:t>
      </w:r>
      <w:r>
        <w:rPr>
          <w:rFonts w:hint="eastAsia" w:ascii="Times New Roman" w:hAnsi="Times New Roman" w:eastAsia="仿宋_GB2312" w:cs="仿宋_GB2312"/>
          <w:sz w:val="32"/>
        </w:rPr>
        <w:t>7</w:t>
      </w:r>
      <w:r>
        <w:rPr>
          <w:rFonts w:hint="eastAsia" w:ascii="仿宋_GB2312" w:hAnsi="仿宋_GB2312" w:eastAsia="仿宋_GB2312" w:cs="仿宋_GB2312"/>
          <w:sz w:val="32"/>
        </w:rPr>
        <w:t>日内将场地交付承租人。</w:t>
      </w:r>
    </w:p>
    <w:p w14:paraId="25B00A9A">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第五条 甲方提供产业园安全保卫、保障供电供水。乙方根据实际需要使用的电和自来水，不收取增容费，使用费用由乙方承担。共用部分的水电费用按实际情况酌情分摊。</w:t>
      </w:r>
    </w:p>
    <w:p w14:paraId="3293C0CB">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第六条 入驻场地的用途：办公。</w:t>
      </w:r>
    </w:p>
    <w:p w14:paraId="396D45DE">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第七条 入驻场地的维修：</w:t>
      </w:r>
    </w:p>
    <w:p w14:paraId="5EF38D7E">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甲方维修的范围、时间及费用负担：按要求对公用设施进行检查、维修、保养，并承担费用。</w:t>
      </w:r>
    </w:p>
    <w:p w14:paraId="62F9C104">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乙方维修的范围及负担：入驻场所内设施的检查、维修、保养，并承担费用。</w:t>
      </w:r>
    </w:p>
    <w:p w14:paraId="4AEDF1C7">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第八条 乙方对入驻房屋场地进行装修或改善增设他物必须得到甲方允许，并将施工方案及图纸送交甲方审核批准后进行，费用由乙方负担。装修、改善增设他物不得改变原有房屋结构。</w:t>
      </w:r>
    </w:p>
    <w:p w14:paraId="41CB11E1">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入驻合同期满，入驻场地的装修、改善增设他物的处理：乙方搬出时，其所做的装修或改造形成的附着物必须拆除，尽量恢复场地原状，保证场地的卫生。无法拆除的，无偿交于甲方。</w:t>
      </w:r>
    </w:p>
    <w:p w14:paraId="447F28CA">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第九条 甲方不允许乙方转租其入驻办公场地。</w:t>
      </w:r>
    </w:p>
    <w:p w14:paraId="27FDC778">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第十条 合同解除的条件</w:t>
      </w:r>
    </w:p>
    <w:p w14:paraId="52618F1B">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有下列情形之一，甲方有权解除本合同：</w:t>
      </w:r>
    </w:p>
    <w:p w14:paraId="6CDDFA24">
      <w:pPr>
        <w:spacing w:line="540" w:lineRule="exact"/>
        <w:ind w:left="-10"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1</w:t>
      </w:r>
      <w:r>
        <w:rPr>
          <w:rFonts w:hint="eastAsia" w:ascii="仿宋_GB2312" w:hAnsi="仿宋_GB2312" w:eastAsia="仿宋_GB2312" w:cs="仿宋_GB2312"/>
          <w:sz w:val="32"/>
        </w:rPr>
        <w:t>.乙方在三个月内不能正常运行，未进行办公设备的安装和使用，企业申请实施的项目未有实质性进展的，经甲方督促仍未运作的，甲方将劝其退出产业园，收回其入驻场地；</w:t>
      </w:r>
    </w:p>
    <w:p w14:paraId="2C255B83">
      <w:pPr>
        <w:spacing w:line="540" w:lineRule="exact"/>
        <w:ind w:left="-10"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2</w:t>
      </w:r>
      <w:r>
        <w:rPr>
          <w:rFonts w:hint="eastAsia" w:ascii="仿宋_GB2312" w:hAnsi="仿宋_GB2312" w:eastAsia="仿宋_GB2312" w:cs="仿宋_GB2312"/>
          <w:sz w:val="32"/>
        </w:rPr>
        <w:t>.乙方不交付或拖欠水电费累计达二个月，经甲方催收仍拒缴纳的；</w:t>
      </w:r>
    </w:p>
    <w:p w14:paraId="37BC44F4">
      <w:pPr>
        <w:spacing w:line="540" w:lineRule="exact"/>
        <w:ind w:left="-10"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3</w:t>
      </w:r>
      <w:r>
        <w:rPr>
          <w:rFonts w:hint="eastAsia" w:ascii="仿宋_GB2312" w:hAnsi="仿宋_GB2312" w:eastAsia="仿宋_GB2312" w:cs="仿宋_GB2312"/>
          <w:sz w:val="32"/>
        </w:rPr>
        <w:t>.未经甲方同意及有关部门批准，乙方擅自改变入驻场地用途；</w:t>
      </w:r>
    </w:p>
    <w:p w14:paraId="0466E987">
      <w:pPr>
        <w:spacing w:line="540" w:lineRule="exact"/>
        <w:ind w:left="-10"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4</w:t>
      </w:r>
      <w:r>
        <w:rPr>
          <w:rFonts w:hint="eastAsia" w:ascii="仿宋_GB2312" w:hAnsi="仿宋_GB2312" w:eastAsia="仿宋_GB2312" w:cs="仿宋_GB2312"/>
          <w:sz w:val="32"/>
        </w:rPr>
        <w:t>.乙方违反本合同约定，不承担维修责任致使房屋或设备严重损坏；</w:t>
      </w:r>
    </w:p>
    <w:p w14:paraId="5D6777F9">
      <w:pPr>
        <w:spacing w:line="540" w:lineRule="exact"/>
        <w:ind w:left="-10"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5</w:t>
      </w:r>
      <w:r>
        <w:rPr>
          <w:rFonts w:hint="eastAsia" w:ascii="仿宋_GB2312" w:hAnsi="仿宋_GB2312" w:eastAsia="仿宋_GB2312" w:cs="仿宋_GB2312"/>
          <w:sz w:val="32"/>
        </w:rPr>
        <w:t>.未经甲方书面同意，乙方将入驻场地进行装修的；</w:t>
      </w:r>
    </w:p>
    <w:p w14:paraId="2ABB9C58">
      <w:pPr>
        <w:spacing w:line="540" w:lineRule="exact"/>
        <w:ind w:left="-10"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6</w:t>
      </w:r>
      <w:r>
        <w:rPr>
          <w:rFonts w:hint="eastAsia" w:ascii="仿宋_GB2312" w:hAnsi="仿宋_GB2312" w:eastAsia="仿宋_GB2312" w:cs="仿宋_GB2312"/>
          <w:sz w:val="32"/>
        </w:rPr>
        <w:t>.未经甲方书面同意，乙方将入驻场地转租第三人的；</w:t>
      </w:r>
    </w:p>
    <w:p w14:paraId="6B660A6A">
      <w:pPr>
        <w:spacing w:line="540" w:lineRule="exact"/>
        <w:ind w:left="-10"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7</w:t>
      </w:r>
      <w:r>
        <w:rPr>
          <w:rFonts w:hint="eastAsia" w:ascii="仿宋_GB2312" w:hAnsi="仿宋_GB2312" w:eastAsia="仿宋_GB2312" w:cs="仿宋_GB2312"/>
          <w:sz w:val="32"/>
        </w:rPr>
        <w:t>.乙方存在安全隐患、污染环境，经甲方要求整改未能及时整改达标的；</w:t>
      </w:r>
    </w:p>
    <w:p w14:paraId="786ECC87">
      <w:pPr>
        <w:spacing w:line="540" w:lineRule="exact"/>
        <w:ind w:left="-10"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8</w:t>
      </w:r>
      <w:r>
        <w:rPr>
          <w:rFonts w:hint="eastAsia" w:ascii="仿宋_GB2312" w:hAnsi="仿宋_GB2312" w:eastAsia="仿宋_GB2312" w:cs="仿宋_GB2312"/>
          <w:sz w:val="32"/>
        </w:rPr>
        <w:t>.乙方在入驻场地进行违法活动，给甲方造成重大经济或名誉损失的；</w:t>
      </w:r>
    </w:p>
    <w:p w14:paraId="294F4C09">
      <w:pPr>
        <w:spacing w:line="540" w:lineRule="exact"/>
        <w:ind w:left="-10"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9</w:t>
      </w:r>
      <w:r>
        <w:rPr>
          <w:rFonts w:hint="eastAsia" w:ascii="仿宋_GB2312" w:hAnsi="仿宋_GB2312" w:eastAsia="仿宋_GB2312" w:cs="仿宋_GB2312"/>
          <w:sz w:val="32"/>
        </w:rPr>
        <w:t>.乙方被工商行政管理机关勒令停业或吊销营业执照的，乙方被司法机关裁定破产或执行清算的；</w:t>
      </w:r>
    </w:p>
    <w:p w14:paraId="71164ECE">
      <w:pPr>
        <w:spacing w:line="540" w:lineRule="exact"/>
        <w:ind w:left="-10"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10</w:t>
      </w:r>
      <w:r>
        <w:rPr>
          <w:rFonts w:hint="eastAsia" w:ascii="仿宋_GB2312" w:hAnsi="仿宋_GB2312" w:eastAsia="仿宋_GB2312" w:cs="仿宋_GB2312"/>
          <w:sz w:val="32"/>
        </w:rPr>
        <w:t>.乙方在合同期满后，无任何正当理由仍滞留在园内的；</w:t>
      </w:r>
    </w:p>
    <w:p w14:paraId="6E3D90A9">
      <w:pPr>
        <w:spacing w:line="540" w:lineRule="exact"/>
        <w:ind w:left="-10"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11</w:t>
      </w:r>
      <w:r>
        <w:rPr>
          <w:rFonts w:hint="eastAsia" w:ascii="仿宋_GB2312" w:hAnsi="仿宋_GB2312" w:eastAsia="仿宋_GB2312" w:cs="仿宋_GB2312"/>
          <w:sz w:val="32"/>
        </w:rPr>
        <w:t>.乙方不服从产业园管理，情节严重的，或者甲方认为需要清退的其他情形；</w:t>
      </w:r>
    </w:p>
    <w:p w14:paraId="4F2F9D30">
      <w:pPr>
        <w:spacing w:line="540" w:lineRule="exact"/>
        <w:ind w:left="-10"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12</w:t>
      </w:r>
      <w:r>
        <w:rPr>
          <w:rFonts w:hint="eastAsia" w:ascii="仿宋_GB2312" w:hAnsi="仿宋_GB2312" w:eastAsia="仿宋_GB2312" w:cs="仿宋_GB2312"/>
          <w:sz w:val="32"/>
        </w:rPr>
        <w:t>.经相关部门考核，认为乙方项目不符合继续留在园区的。</w:t>
      </w:r>
    </w:p>
    <w:p w14:paraId="26BC83F4">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有下列情况之一，承租人有权解除本合同：</w:t>
      </w:r>
    </w:p>
    <w:p w14:paraId="58F18B8B">
      <w:pPr>
        <w:spacing w:line="540" w:lineRule="exact"/>
        <w:ind w:left="-10"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1</w:t>
      </w:r>
      <w:r>
        <w:rPr>
          <w:rFonts w:hint="eastAsia" w:ascii="仿宋_GB2312" w:hAnsi="仿宋_GB2312" w:eastAsia="仿宋_GB2312" w:cs="仿宋_GB2312"/>
          <w:sz w:val="32"/>
        </w:rPr>
        <w:t>.甲方迟延交付办公场地一个月以上；</w:t>
      </w:r>
    </w:p>
    <w:p w14:paraId="2B3A63A7">
      <w:pPr>
        <w:spacing w:line="540" w:lineRule="exact"/>
        <w:ind w:left="-10"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2</w:t>
      </w:r>
      <w:r>
        <w:rPr>
          <w:rFonts w:hint="eastAsia" w:ascii="仿宋_GB2312" w:hAnsi="仿宋_GB2312" w:eastAsia="仿宋_GB2312" w:cs="仿宋_GB2312"/>
          <w:sz w:val="32"/>
        </w:rPr>
        <w:t>.甲方违反本合同约定，不承担维修责任，使乙方无法继续使用办公场地；</w:t>
      </w:r>
    </w:p>
    <w:p w14:paraId="6958F3FF">
      <w:pPr>
        <w:spacing w:line="540" w:lineRule="exact"/>
        <w:ind w:left="-10" w:firstLine="649" w:firstLineChars="203"/>
        <w:rPr>
          <w:rFonts w:hint="eastAsia" w:ascii="仿宋_GB2312" w:hAnsi="仿宋_GB2312" w:eastAsia="仿宋_GB2312" w:cs="仿宋_GB2312"/>
          <w:sz w:val="32"/>
        </w:rPr>
      </w:pPr>
      <w:r>
        <w:rPr>
          <w:rFonts w:hint="eastAsia" w:ascii="Times New Roman" w:hAnsi="Times New Roman" w:eastAsia="仿宋_GB2312" w:cs="仿宋_GB2312"/>
          <w:sz w:val="32"/>
        </w:rPr>
        <w:t>3</w:t>
      </w:r>
      <w:r>
        <w:rPr>
          <w:rFonts w:hint="eastAsia" w:ascii="仿宋_GB2312" w:hAnsi="仿宋_GB2312" w:eastAsia="仿宋_GB2312" w:cs="仿宋_GB2312"/>
          <w:sz w:val="32"/>
        </w:rPr>
        <w:t>.甲方有其他违反合同约定的行为，影响乙方无法开展办公的。</w:t>
      </w:r>
    </w:p>
    <w:p w14:paraId="3A65B535">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第十一条 乙方应教育员工举止文明，行为符合产业园规范，不得在大楼内烧饭做菜，不得在楼内留宿，不得污染公共部位墙面，不得损坏园内设施、公共财物。违者根据甲方规定处罚。</w:t>
      </w:r>
    </w:p>
    <w:p w14:paraId="089EB7F7">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第十二条 乙方应遵守甲方指定的与安全有关的各项规章制度，认真落实防火、防盗、防爆、防破坏，安全用电等各项工作。杜绝事故隐患。如因乙方造成的损失，乙方必须承担全部责任。</w:t>
      </w:r>
    </w:p>
    <w:p w14:paraId="3C9ACFC2">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第十三条 乙方需要安装使用网络及电话等，甲方应当协助及时办理，费用由乙方负担。</w:t>
      </w:r>
    </w:p>
    <w:p w14:paraId="6E8DB6CC">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第十四条 违约责任：</w:t>
      </w:r>
    </w:p>
    <w:p w14:paraId="6C186436">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乙方逾期交付水电费，除应及时补交外，还应支付万分之五/天的滞纳金。</w:t>
      </w:r>
    </w:p>
    <w:p w14:paraId="0C5A2606">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乙方违反合同，擅自将场地转租给第三人使用的，因此造成的厂房场地及基础设施毁坏的，应负赔偿责任。</w:t>
      </w:r>
    </w:p>
    <w:p w14:paraId="75FED1FD">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因不可抗力原因导致场地损坏和造成损失的，本合同终止，双方互不承担责任。</w:t>
      </w:r>
    </w:p>
    <w:p w14:paraId="0442AE21">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第十五条 本合同未尽事宜，由双方另行协商解决并签订书面补充协议，补充协议与本协议具有同等效力。</w:t>
      </w:r>
    </w:p>
    <w:p w14:paraId="570E04A7">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第十六条 本合同一式三份，双方各执一份，</w:t>
      </w:r>
      <w:r>
        <w:rPr>
          <w:rFonts w:hint="eastAsia" w:ascii="仿宋_GB2312" w:hAnsi="仿宋_GB2312" w:eastAsia="仿宋_GB2312" w:cs="仿宋_GB2312"/>
          <w:sz w:val="32"/>
          <w:lang w:val="en-US" w:eastAsia="zh-CN"/>
        </w:rPr>
        <w:t>产业园办公室</w:t>
      </w:r>
      <w:r>
        <w:rPr>
          <w:rFonts w:hint="eastAsia" w:ascii="仿宋_GB2312" w:hAnsi="仿宋_GB2312" w:eastAsia="仿宋_GB2312" w:cs="仿宋_GB2312"/>
          <w:sz w:val="32"/>
        </w:rPr>
        <w:t>留存一份，本合同自双方签字盖章之日起生效。</w:t>
      </w:r>
    </w:p>
    <w:p w14:paraId="3397A7BF">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p>
    <w:p w14:paraId="6EF43E3B">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甲方：（章）                       乙方：（章）</w:t>
      </w:r>
    </w:p>
    <w:p w14:paraId="0171CDA2">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法定代表人：                       法定代表人：</w:t>
      </w:r>
    </w:p>
    <w:p w14:paraId="20B7A0EC">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经办人：                           经办人：</w:t>
      </w:r>
    </w:p>
    <w:p w14:paraId="2BA46205">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联系方式：                         联系方式：</w:t>
      </w:r>
    </w:p>
    <w:p w14:paraId="188684EC">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p>
    <w:p w14:paraId="5AF84768">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 xml:space="preserve">合同签订地点：             </w:t>
      </w:r>
    </w:p>
    <w:p w14:paraId="27AF92C8">
      <w:pPr>
        <w:spacing w:line="540" w:lineRule="exact"/>
        <w:ind w:left="-10" w:firstLine="649" w:firstLineChars="203"/>
        <w:rPr>
          <w:rFonts w:hint="eastAsia" w:ascii="仿宋_GB2312" w:hAnsi="仿宋_GB2312" w:eastAsia="仿宋_GB2312" w:cs="仿宋_GB2312"/>
          <w:sz w:val="32"/>
        </w:rPr>
      </w:pPr>
      <w:r>
        <w:rPr>
          <w:rFonts w:hint="eastAsia" w:ascii="仿宋_GB2312" w:hAnsi="仿宋_GB2312" w:eastAsia="仿宋_GB2312" w:cs="仿宋_GB2312"/>
          <w:sz w:val="32"/>
        </w:rPr>
        <w:t>合同签订时间：</w:t>
      </w:r>
    </w:p>
    <w:p w14:paraId="486E060D">
      <w:pPr>
        <w:spacing w:line="540" w:lineRule="exact"/>
        <w:rPr>
          <w:rFonts w:hint="eastAsia" w:ascii="仿宋_GB2312" w:hAnsi="仿宋_GB2312" w:eastAsia="仿宋_GB2312" w:cs="仿宋_GB2312"/>
          <w:sz w:val="32"/>
        </w:rPr>
      </w:pPr>
    </w:p>
    <w:p w14:paraId="763A294A">
      <w:pPr>
        <w:spacing w:line="540" w:lineRule="exact"/>
        <w:rPr>
          <w:rFonts w:hint="eastAsia" w:ascii="仿宋_GB2312" w:hAnsi="仿宋_GB2312" w:eastAsia="仿宋_GB2312" w:cs="仿宋_GB2312"/>
          <w:sz w:val="32"/>
        </w:rPr>
      </w:pPr>
    </w:p>
    <w:p w14:paraId="589BFBCE">
      <w:pPr>
        <w:spacing w:line="540" w:lineRule="exact"/>
        <w:rPr>
          <w:rFonts w:hint="eastAsia" w:ascii="仿宋_GB2312" w:hAnsi="仿宋_GB2312" w:eastAsia="仿宋_GB2312" w:cs="仿宋_GB2312"/>
          <w:sz w:val="32"/>
        </w:rPr>
      </w:pPr>
    </w:p>
    <w:p w14:paraId="20F6C609">
      <w:pPr>
        <w:spacing w:line="540" w:lineRule="exact"/>
        <w:rPr>
          <w:rFonts w:hint="eastAsia" w:ascii="仿宋_GB2312" w:hAnsi="仿宋_GB2312" w:eastAsia="仿宋_GB2312" w:cs="仿宋_GB2312"/>
          <w:sz w:val="32"/>
        </w:rPr>
      </w:pPr>
    </w:p>
    <w:p w14:paraId="3538896E">
      <w:pPr>
        <w:spacing w:line="540" w:lineRule="exact"/>
        <w:rPr>
          <w:rFonts w:hint="eastAsia" w:ascii="仿宋_GB2312" w:hAnsi="仿宋_GB2312" w:eastAsia="仿宋_GB2312" w:cs="仿宋_GB2312"/>
          <w:sz w:val="32"/>
        </w:rPr>
      </w:pPr>
    </w:p>
    <w:p w14:paraId="1FEE5853">
      <w:pPr>
        <w:spacing w:line="540" w:lineRule="exact"/>
        <w:rPr>
          <w:rFonts w:hint="eastAsia" w:ascii="仿宋_GB2312" w:hAnsi="仿宋_GB2312" w:eastAsia="仿宋_GB2312" w:cs="仿宋_GB2312"/>
          <w:sz w:val="32"/>
        </w:rPr>
      </w:pPr>
    </w:p>
    <w:p w14:paraId="01E15773">
      <w:pPr>
        <w:spacing w:after="156" w:afterLines="50" w:line="560" w:lineRule="exact"/>
        <w:jc w:val="center"/>
        <w:rPr>
          <w:rFonts w:hint="eastAsia" w:ascii="仿宋_GB2312" w:hAnsi="仿宋_GB2312" w:eastAsia="仿宋_GB2312" w:cs="仿宋_GB2312"/>
          <w:sz w:val="32"/>
          <w:szCs w:val="32"/>
        </w:rPr>
      </w:pPr>
    </w:p>
    <w:p w14:paraId="6DFCF5F3">
      <w:pPr>
        <w:spacing w:after="156" w:afterLines="50"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4620090C">
      <w:pPr>
        <w:keepNext w:val="0"/>
        <w:keepLines w:val="0"/>
        <w:pageBreakBefore w:val="0"/>
        <w:widowControl w:val="0"/>
        <w:kinsoku/>
        <w:wordWrap/>
        <w:overflowPunct/>
        <w:topLinePunct w:val="0"/>
        <w:autoSpaceDE/>
        <w:autoSpaceDN/>
        <w:bidi w:val="0"/>
        <w:adjustRightInd/>
        <w:snapToGrid/>
        <w:spacing w:after="156" w:afterLines="50"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南丹县有色金属产业人力资源服务分园</w:t>
      </w:r>
    </w:p>
    <w:p w14:paraId="32AFF545">
      <w:pPr>
        <w:keepNext w:val="0"/>
        <w:keepLines w:val="0"/>
        <w:pageBreakBefore w:val="0"/>
        <w:widowControl w:val="0"/>
        <w:kinsoku/>
        <w:wordWrap/>
        <w:overflowPunct/>
        <w:topLinePunct w:val="0"/>
        <w:autoSpaceDE/>
        <w:autoSpaceDN/>
        <w:bidi w:val="0"/>
        <w:adjustRightInd/>
        <w:snapToGrid/>
        <w:spacing w:after="156" w:afterLines="50"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入驻</w:t>
      </w:r>
      <w:r>
        <w:rPr>
          <w:rFonts w:hint="eastAsia" w:ascii="方正小标宋简体" w:hAnsi="方正小标宋简体" w:eastAsia="方正小标宋简体" w:cs="方正小标宋简体"/>
          <w:sz w:val="44"/>
          <w:szCs w:val="44"/>
          <w:lang w:val="en-US" w:eastAsia="zh-CN"/>
        </w:rPr>
        <w:t>企业</w:t>
      </w:r>
      <w:r>
        <w:rPr>
          <w:rFonts w:hint="eastAsia" w:ascii="方正小标宋简体" w:hAnsi="方正小标宋简体" w:eastAsia="方正小标宋简体" w:cs="方正小标宋简体"/>
          <w:sz w:val="44"/>
          <w:szCs w:val="44"/>
        </w:rPr>
        <w:t>考核标准</w:t>
      </w:r>
    </w:p>
    <w:tbl>
      <w:tblPr>
        <w:tblStyle w:val="6"/>
        <w:tblW w:w="9075" w:type="dxa"/>
        <w:jc w:val="center"/>
        <w:tblLayout w:type="autofit"/>
        <w:tblCellMar>
          <w:top w:w="0" w:type="dxa"/>
          <w:left w:w="0" w:type="dxa"/>
          <w:bottom w:w="0" w:type="dxa"/>
          <w:right w:w="0" w:type="dxa"/>
        </w:tblCellMar>
      </w:tblPr>
      <w:tblGrid>
        <w:gridCol w:w="900"/>
        <w:gridCol w:w="1114"/>
        <w:gridCol w:w="5756"/>
        <w:gridCol w:w="1305"/>
      </w:tblGrid>
      <w:tr w14:paraId="057FFA29">
        <w:tblPrEx>
          <w:tblCellMar>
            <w:top w:w="0" w:type="dxa"/>
            <w:left w:w="0" w:type="dxa"/>
            <w:bottom w:w="0" w:type="dxa"/>
            <w:right w:w="0" w:type="dxa"/>
          </w:tblCellMar>
        </w:tblPrEx>
        <w:trPr>
          <w:trHeight w:val="416"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14:paraId="493E7F45">
            <w:pPr>
              <w:spacing w:line="279" w:lineRule="auto"/>
              <w:jc w:val="center"/>
              <w:rPr>
                <w:rFonts w:hint="eastAsia" w:ascii="仿宋_GB2312" w:hAnsi="仿宋_GB2312" w:eastAsia="仿宋_GB2312" w:cs="仿宋_GB2312"/>
              </w:rPr>
            </w:pPr>
            <w:r>
              <w:rPr>
                <w:rFonts w:hint="eastAsia" w:ascii="仿宋_GB2312" w:hAnsi="仿宋_GB2312" w:eastAsia="仿宋_GB2312" w:cs="仿宋_GB2312"/>
                <w:b/>
                <w:bCs/>
              </w:rPr>
              <w:t>项目</w:t>
            </w:r>
          </w:p>
        </w:tc>
        <w:tc>
          <w:tcPr>
            <w:tcW w:w="1114" w:type="dxa"/>
            <w:tcBorders>
              <w:top w:val="single" w:color="auto" w:sz="6" w:space="0"/>
              <w:left w:val="single" w:color="auto" w:sz="6" w:space="0"/>
              <w:bottom w:val="single" w:color="auto" w:sz="6" w:space="0"/>
              <w:right w:val="single" w:color="auto" w:sz="6" w:space="0"/>
            </w:tcBorders>
            <w:vAlign w:val="center"/>
          </w:tcPr>
          <w:p w14:paraId="1BADD1BC">
            <w:pPr>
              <w:spacing w:line="279" w:lineRule="auto"/>
              <w:jc w:val="center"/>
              <w:rPr>
                <w:rFonts w:hint="eastAsia" w:ascii="仿宋_GB2312" w:hAnsi="仿宋_GB2312" w:eastAsia="仿宋_GB2312" w:cs="仿宋_GB2312"/>
              </w:rPr>
            </w:pPr>
            <w:r>
              <w:rPr>
                <w:rFonts w:hint="eastAsia" w:ascii="仿宋_GB2312" w:hAnsi="仿宋_GB2312" w:eastAsia="仿宋_GB2312" w:cs="仿宋_GB2312"/>
                <w:b/>
                <w:bCs/>
              </w:rPr>
              <w:t>考核内容</w:t>
            </w:r>
          </w:p>
        </w:tc>
        <w:tc>
          <w:tcPr>
            <w:tcW w:w="5756" w:type="dxa"/>
            <w:tcBorders>
              <w:top w:val="single" w:color="auto" w:sz="6" w:space="0"/>
              <w:left w:val="single" w:color="auto" w:sz="6" w:space="0"/>
              <w:bottom w:val="single" w:color="auto" w:sz="6" w:space="0"/>
              <w:right w:val="single" w:color="auto" w:sz="6" w:space="0"/>
            </w:tcBorders>
            <w:vAlign w:val="center"/>
          </w:tcPr>
          <w:p w14:paraId="01E15B63">
            <w:pPr>
              <w:spacing w:line="279" w:lineRule="auto"/>
              <w:jc w:val="center"/>
              <w:rPr>
                <w:rFonts w:hint="eastAsia" w:ascii="仿宋_GB2312" w:hAnsi="仿宋_GB2312" w:eastAsia="仿宋_GB2312" w:cs="仿宋_GB2312"/>
              </w:rPr>
            </w:pPr>
            <w:r>
              <w:rPr>
                <w:rFonts w:hint="eastAsia" w:ascii="仿宋_GB2312" w:hAnsi="仿宋_GB2312" w:eastAsia="仿宋_GB2312" w:cs="仿宋_GB2312"/>
                <w:b/>
                <w:bCs/>
              </w:rPr>
              <w:t>评分标准</w:t>
            </w:r>
          </w:p>
        </w:tc>
        <w:tc>
          <w:tcPr>
            <w:tcW w:w="1305" w:type="dxa"/>
            <w:tcBorders>
              <w:top w:val="single" w:color="auto" w:sz="6" w:space="0"/>
              <w:left w:val="single" w:color="auto" w:sz="6" w:space="0"/>
              <w:bottom w:val="single" w:color="auto" w:sz="6" w:space="0"/>
              <w:right w:val="single" w:color="auto" w:sz="6" w:space="0"/>
            </w:tcBorders>
            <w:vAlign w:val="center"/>
          </w:tcPr>
          <w:p w14:paraId="4129BB74">
            <w:pPr>
              <w:spacing w:line="279" w:lineRule="auto"/>
              <w:jc w:val="center"/>
              <w:rPr>
                <w:rFonts w:hint="eastAsia" w:ascii="仿宋_GB2312" w:hAnsi="仿宋_GB2312" w:eastAsia="仿宋_GB2312" w:cs="仿宋_GB2312"/>
              </w:rPr>
            </w:pPr>
            <w:r>
              <w:rPr>
                <w:rFonts w:hint="eastAsia" w:ascii="仿宋_GB2312" w:hAnsi="仿宋_GB2312" w:eastAsia="仿宋_GB2312" w:cs="仿宋_GB2312"/>
                <w:b/>
                <w:bCs/>
              </w:rPr>
              <w:t>分值</w:t>
            </w:r>
          </w:p>
        </w:tc>
      </w:tr>
      <w:tr w14:paraId="4D67A2DE">
        <w:tblPrEx>
          <w:tblCellMar>
            <w:top w:w="0" w:type="dxa"/>
            <w:left w:w="0" w:type="dxa"/>
            <w:bottom w:w="0" w:type="dxa"/>
            <w:right w:w="0" w:type="dxa"/>
          </w:tblCellMar>
        </w:tblPrEx>
        <w:trPr>
          <w:trHeight w:val="311" w:hRule="atLeast"/>
          <w:jc w:val="center"/>
        </w:trPr>
        <w:tc>
          <w:tcPr>
            <w:tcW w:w="900" w:type="dxa"/>
            <w:vMerge w:val="restart"/>
            <w:tcBorders>
              <w:top w:val="nil"/>
              <w:left w:val="single" w:color="auto" w:sz="6" w:space="0"/>
              <w:bottom w:val="single" w:color="auto" w:sz="6" w:space="0"/>
              <w:right w:val="single" w:color="auto" w:sz="6" w:space="0"/>
            </w:tcBorders>
            <w:vAlign w:val="center"/>
          </w:tcPr>
          <w:p w14:paraId="66D214A5">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业务</w:t>
            </w:r>
          </w:p>
          <w:p w14:paraId="2F2D3B8D">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考核</w:t>
            </w:r>
          </w:p>
          <w:p w14:paraId="5EC1C537">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40</w:t>
            </w:r>
            <w:r>
              <w:rPr>
                <w:rFonts w:hint="eastAsia" w:ascii="仿宋_GB2312" w:hAnsi="仿宋_GB2312" w:eastAsia="仿宋_GB2312" w:cs="仿宋_GB2312"/>
              </w:rPr>
              <w:t>分）</w:t>
            </w:r>
          </w:p>
        </w:tc>
        <w:tc>
          <w:tcPr>
            <w:tcW w:w="1114" w:type="dxa"/>
            <w:vMerge w:val="restart"/>
            <w:tcBorders>
              <w:top w:val="nil"/>
              <w:left w:val="single" w:color="auto" w:sz="6" w:space="0"/>
              <w:bottom w:val="single" w:color="auto" w:sz="6" w:space="0"/>
              <w:right w:val="single" w:color="auto" w:sz="6" w:space="0"/>
            </w:tcBorders>
            <w:vAlign w:val="center"/>
          </w:tcPr>
          <w:p w14:paraId="6A430063">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营业收入</w:t>
            </w:r>
          </w:p>
          <w:p w14:paraId="60BC9386">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15</w:t>
            </w:r>
            <w:r>
              <w:rPr>
                <w:rFonts w:hint="eastAsia" w:ascii="仿宋_GB2312" w:hAnsi="仿宋_GB2312" w:eastAsia="仿宋_GB2312" w:cs="仿宋_GB2312"/>
              </w:rPr>
              <w:t>分）</w:t>
            </w:r>
          </w:p>
        </w:tc>
        <w:tc>
          <w:tcPr>
            <w:tcW w:w="5756" w:type="dxa"/>
            <w:tcBorders>
              <w:top w:val="nil"/>
              <w:left w:val="single" w:color="auto" w:sz="6" w:space="0"/>
              <w:bottom w:val="single" w:color="auto" w:sz="6" w:space="0"/>
              <w:right w:val="single" w:color="auto" w:sz="6" w:space="0"/>
            </w:tcBorders>
            <w:vAlign w:val="center"/>
          </w:tcPr>
          <w:p w14:paraId="7B1BC7E2">
            <w:pPr>
              <w:spacing w:line="340" w:lineRule="exact"/>
              <w:jc w:val="left"/>
              <w:rPr>
                <w:rFonts w:hint="eastAsia" w:ascii="仿宋_GB2312" w:hAnsi="仿宋_GB2312" w:eastAsia="仿宋_GB2312" w:cs="仿宋_GB2312"/>
              </w:rPr>
            </w:pPr>
            <w:r>
              <w:rPr>
                <w:rFonts w:hint="eastAsia" w:ascii="Times New Roman" w:hAnsi="Times New Roman" w:eastAsia="仿宋_GB2312" w:cs="仿宋_GB2312"/>
              </w:rPr>
              <w:t>200</w:t>
            </w:r>
            <w:r>
              <w:rPr>
                <w:rFonts w:hint="eastAsia" w:ascii="仿宋_GB2312" w:hAnsi="仿宋_GB2312" w:eastAsia="仿宋_GB2312" w:cs="仿宋_GB2312"/>
              </w:rPr>
              <w:t>万元以上</w:t>
            </w:r>
          </w:p>
        </w:tc>
        <w:tc>
          <w:tcPr>
            <w:tcW w:w="1305" w:type="dxa"/>
            <w:tcBorders>
              <w:top w:val="nil"/>
              <w:left w:val="single" w:color="auto" w:sz="6" w:space="0"/>
              <w:bottom w:val="single" w:color="auto" w:sz="6" w:space="0"/>
              <w:right w:val="single" w:color="auto" w:sz="6" w:space="0"/>
            </w:tcBorders>
            <w:vAlign w:val="center"/>
          </w:tcPr>
          <w:p w14:paraId="1808F2D6">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15</w:t>
            </w:r>
            <w:r>
              <w:rPr>
                <w:rFonts w:hint="eastAsia" w:ascii="仿宋_GB2312" w:hAnsi="仿宋_GB2312" w:eastAsia="仿宋_GB2312" w:cs="仿宋_GB2312"/>
              </w:rPr>
              <w:t>分</w:t>
            </w:r>
          </w:p>
        </w:tc>
      </w:tr>
      <w:tr w14:paraId="546C039E">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6" w:space="0"/>
              <w:bottom w:val="single" w:color="auto" w:sz="6" w:space="0"/>
              <w:right w:val="single" w:color="auto" w:sz="6" w:space="0"/>
            </w:tcBorders>
            <w:vAlign w:val="center"/>
          </w:tcPr>
          <w:p w14:paraId="7D5D891B">
            <w:pPr>
              <w:spacing w:line="340" w:lineRule="exact"/>
              <w:jc w:val="center"/>
              <w:rPr>
                <w:rFonts w:hint="eastAsia" w:ascii="仿宋_GB2312" w:hAnsi="仿宋_GB2312" w:eastAsia="仿宋_GB2312" w:cs="仿宋_GB2312"/>
              </w:rPr>
            </w:pPr>
          </w:p>
        </w:tc>
        <w:tc>
          <w:tcPr>
            <w:tcW w:w="1114" w:type="dxa"/>
            <w:vMerge w:val="continue"/>
            <w:tcBorders>
              <w:top w:val="nil"/>
              <w:left w:val="single" w:color="auto" w:sz="6" w:space="0"/>
              <w:bottom w:val="single" w:color="auto" w:sz="6" w:space="0"/>
              <w:right w:val="single" w:color="auto" w:sz="6" w:space="0"/>
            </w:tcBorders>
            <w:vAlign w:val="center"/>
          </w:tcPr>
          <w:p w14:paraId="024809E1">
            <w:pPr>
              <w:spacing w:line="340" w:lineRule="exact"/>
              <w:jc w:val="center"/>
              <w:rPr>
                <w:rFonts w:hint="eastAsia" w:ascii="仿宋_GB2312" w:hAnsi="仿宋_GB2312" w:eastAsia="仿宋_GB2312" w:cs="仿宋_GB2312"/>
              </w:rPr>
            </w:pPr>
          </w:p>
        </w:tc>
        <w:tc>
          <w:tcPr>
            <w:tcW w:w="5756" w:type="dxa"/>
            <w:tcBorders>
              <w:top w:val="nil"/>
              <w:left w:val="single" w:color="auto" w:sz="6" w:space="0"/>
              <w:bottom w:val="single" w:color="auto" w:sz="6" w:space="0"/>
              <w:right w:val="single" w:color="auto" w:sz="6" w:space="0"/>
            </w:tcBorders>
            <w:vAlign w:val="center"/>
          </w:tcPr>
          <w:p w14:paraId="760179C0">
            <w:pPr>
              <w:spacing w:line="340" w:lineRule="exact"/>
              <w:jc w:val="left"/>
              <w:rPr>
                <w:rFonts w:hint="eastAsia" w:ascii="仿宋_GB2312" w:hAnsi="仿宋_GB2312" w:eastAsia="仿宋_GB2312" w:cs="仿宋_GB2312"/>
              </w:rPr>
            </w:pPr>
            <w:r>
              <w:rPr>
                <w:rFonts w:hint="eastAsia" w:ascii="Times New Roman" w:hAnsi="Times New Roman" w:eastAsia="仿宋_GB2312" w:cs="仿宋_GB2312"/>
              </w:rPr>
              <w:t>100</w:t>
            </w:r>
            <w:r>
              <w:rPr>
                <w:rFonts w:hint="eastAsia" w:ascii="仿宋_GB2312" w:hAnsi="仿宋_GB2312" w:eastAsia="仿宋_GB2312" w:cs="仿宋_GB2312"/>
              </w:rPr>
              <w:t>万（含）-</w:t>
            </w:r>
            <w:r>
              <w:rPr>
                <w:rFonts w:hint="eastAsia" w:ascii="Times New Roman" w:hAnsi="Times New Roman" w:eastAsia="仿宋_GB2312" w:cs="仿宋_GB2312"/>
              </w:rPr>
              <w:t>200</w:t>
            </w:r>
            <w:r>
              <w:rPr>
                <w:rFonts w:hint="eastAsia" w:ascii="仿宋_GB2312" w:hAnsi="仿宋_GB2312" w:eastAsia="仿宋_GB2312" w:cs="仿宋_GB2312"/>
              </w:rPr>
              <w:t>万（含）</w:t>
            </w:r>
          </w:p>
        </w:tc>
        <w:tc>
          <w:tcPr>
            <w:tcW w:w="1305" w:type="dxa"/>
            <w:tcBorders>
              <w:top w:val="nil"/>
              <w:left w:val="single" w:color="auto" w:sz="6" w:space="0"/>
              <w:bottom w:val="single" w:color="auto" w:sz="6" w:space="0"/>
              <w:right w:val="single" w:color="auto" w:sz="6" w:space="0"/>
            </w:tcBorders>
            <w:vAlign w:val="center"/>
          </w:tcPr>
          <w:p w14:paraId="3A288AC3">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10</w:t>
            </w:r>
            <w:r>
              <w:rPr>
                <w:rFonts w:hint="eastAsia" w:ascii="仿宋_GB2312" w:hAnsi="仿宋_GB2312" w:eastAsia="仿宋_GB2312" w:cs="仿宋_GB2312"/>
              </w:rPr>
              <w:t>分</w:t>
            </w:r>
          </w:p>
        </w:tc>
      </w:tr>
      <w:tr w14:paraId="2DFDC693">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6" w:space="0"/>
              <w:bottom w:val="single" w:color="auto" w:sz="6" w:space="0"/>
              <w:right w:val="single" w:color="auto" w:sz="6" w:space="0"/>
            </w:tcBorders>
            <w:vAlign w:val="center"/>
          </w:tcPr>
          <w:p w14:paraId="5B64FB3C">
            <w:pPr>
              <w:spacing w:line="340" w:lineRule="exact"/>
              <w:jc w:val="center"/>
              <w:rPr>
                <w:rFonts w:hint="eastAsia" w:ascii="仿宋_GB2312" w:hAnsi="仿宋_GB2312" w:eastAsia="仿宋_GB2312" w:cs="仿宋_GB2312"/>
              </w:rPr>
            </w:pPr>
          </w:p>
        </w:tc>
        <w:tc>
          <w:tcPr>
            <w:tcW w:w="1114" w:type="dxa"/>
            <w:vMerge w:val="continue"/>
            <w:tcBorders>
              <w:top w:val="nil"/>
              <w:left w:val="single" w:color="auto" w:sz="6" w:space="0"/>
              <w:bottom w:val="single" w:color="auto" w:sz="6" w:space="0"/>
              <w:right w:val="single" w:color="auto" w:sz="6" w:space="0"/>
            </w:tcBorders>
            <w:vAlign w:val="center"/>
          </w:tcPr>
          <w:p w14:paraId="4DB58041">
            <w:pPr>
              <w:spacing w:line="340" w:lineRule="exact"/>
              <w:jc w:val="center"/>
              <w:rPr>
                <w:rFonts w:hint="eastAsia" w:ascii="仿宋_GB2312" w:hAnsi="仿宋_GB2312" w:eastAsia="仿宋_GB2312" w:cs="仿宋_GB2312"/>
              </w:rPr>
            </w:pPr>
          </w:p>
        </w:tc>
        <w:tc>
          <w:tcPr>
            <w:tcW w:w="5756" w:type="dxa"/>
            <w:tcBorders>
              <w:top w:val="nil"/>
              <w:left w:val="single" w:color="auto" w:sz="6" w:space="0"/>
              <w:bottom w:val="single" w:color="auto" w:sz="6" w:space="0"/>
              <w:right w:val="single" w:color="auto" w:sz="6" w:space="0"/>
            </w:tcBorders>
            <w:vAlign w:val="center"/>
          </w:tcPr>
          <w:p w14:paraId="372B6324">
            <w:pPr>
              <w:spacing w:line="340" w:lineRule="exact"/>
              <w:jc w:val="left"/>
              <w:rPr>
                <w:rFonts w:hint="eastAsia" w:ascii="仿宋_GB2312" w:hAnsi="仿宋_GB2312" w:eastAsia="仿宋_GB2312" w:cs="仿宋_GB2312"/>
              </w:rPr>
            </w:pPr>
            <w:r>
              <w:rPr>
                <w:rFonts w:hint="eastAsia" w:ascii="仿宋_GB2312" w:hAnsi="仿宋_GB2312" w:eastAsia="仿宋_GB2312" w:cs="仿宋_GB2312"/>
              </w:rPr>
              <w:t>正常营业且产生营业收入</w:t>
            </w:r>
            <w:r>
              <w:rPr>
                <w:rFonts w:hint="eastAsia" w:ascii="Times New Roman" w:hAnsi="Times New Roman" w:eastAsia="仿宋_GB2312" w:cs="仿宋_GB2312"/>
              </w:rPr>
              <w:t>100</w:t>
            </w:r>
            <w:r>
              <w:rPr>
                <w:rFonts w:hint="eastAsia" w:ascii="仿宋_GB2312" w:hAnsi="仿宋_GB2312" w:eastAsia="仿宋_GB2312" w:cs="仿宋_GB2312"/>
              </w:rPr>
              <w:t>万以下</w:t>
            </w:r>
          </w:p>
        </w:tc>
        <w:tc>
          <w:tcPr>
            <w:tcW w:w="1305" w:type="dxa"/>
            <w:tcBorders>
              <w:top w:val="nil"/>
              <w:left w:val="single" w:color="auto" w:sz="6" w:space="0"/>
              <w:bottom w:val="single" w:color="auto" w:sz="6" w:space="0"/>
              <w:right w:val="single" w:color="auto" w:sz="6" w:space="0"/>
            </w:tcBorders>
            <w:vAlign w:val="center"/>
          </w:tcPr>
          <w:p w14:paraId="1829000B">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5</w:t>
            </w:r>
            <w:r>
              <w:rPr>
                <w:rFonts w:hint="eastAsia" w:ascii="仿宋_GB2312" w:hAnsi="仿宋_GB2312" w:eastAsia="仿宋_GB2312" w:cs="仿宋_GB2312"/>
              </w:rPr>
              <w:t>分</w:t>
            </w:r>
          </w:p>
        </w:tc>
      </w:tr>
      <w:tr w14:paraId="43967795">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6" w:space="0"/>
              <w:bottom w:val="single" w:color="auto" w:sz="6" w:space="0"/>
              <w:right w:val="single" w:color="auto" w:sz="6" w:space="0"/>
            </w:tcBorders>
            <w:vAlign w:val="center"/>
          </w:tcPr>
          <w:p w14:paraId="5AB51DE9">
            <w:pPr>
              <w:spacing w:line="340" w:lineRule="exact"/>
              <w:jc w:val="center"/>
              <w:rPr>
                <w:rFonts w:hint="eastAsia" w:ascii="仿宋_GB2312" w:hAnsi="仿宋_GB2312" w:eastAsia="仿宋_GB2312" w:cs="仿宋_GB2312"/>
              </w:rPr>
            </w:pPr>
          </w:p>
        </w:tc>
        <w:tc>
          <w:tcPr>
            <w:tcW w:w="1114" w:type="dxa"/>
            <w:vMerge w:val="restart"/>
            <w:tcBorders>
              <w:top w:val="nil"/>
              <w:left w:val="single" w:color="auto" w:sz="6" w:space="0"/>
              <w:bottom w:val="single" w:color="auto" w:sz="6" w:space="0"/>
              <w:right w:val="single" w:color="auto" w:sz="6" w:space="0"/>
            </w:tcBorders>
            <w:vAlign w:val="center"/>
          </w:tcPr>
          <w:p w14:paraId="6019E225">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纳税情况</w:t>
            </w:r>
          </w:p>
          <w:p w14:paraId="4519E81F">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15</w:t>
            </w:r>
            <w:r>
              <w:rPr>
                <w:rFonts w:hint="eastAsia" w:ascii="仿宋_GB2312" w:hAnsi="仿宋_GB2312" w:eastAsia="仿宋_GB2312" w:cs="仿宋_GB2312"/>
              </w:rPr>
              <w:t>分）</w:t>
            </w:r>
          </w:p>
        </w:tc>
        <w:tc>
          <w:tcPr>
            <w:tcW w:w="5756" w:type="dxa"/>
            <w:tcBorders>
              <w:top w:val="nil"/>
              <w:left w:val="single" w:color="auto" w:sz="6" w:space="0"/>
              <w:bottom w:val="single" w:color="auto" w:sz="6" w:space="0"/>
              <w:right w:val="single" w:color="auto" w:sz="6" w:space="0"/>
            </w:tcBorders>
            <w:vAlign w:val="center"/>
          </w:tcPr>
          <w:p w14:paraId="7FE25391">
            <w:pPr>
              <w:spacing w:line="340" w:lineRule="exact"/>
              <w:jc w:val="left"/>
              <w:rPr>
                <w:rFonts w:hint="eastAsia" w:ascii="仿宋_GB2312" w:hAnsi="仿宋_GB2312" w:eastAsia="仿宋_GB2312" w:cs="仿宋_GB2312"/>
              </w:rPr>
            </w:pPr>
            <w:r>
              <w:rPr>
                <w:rFonts w:hint="eastAsia" w:ascii="Times New Roman" w:hAnsi="Times New Roman" w:eastAsia="仿宋_GB2312" w:cs="仿宋_GB2312"/>
              </w:rPr>
              <w:t>50</w:t>
            </w:r>
            <w:r>
              <w:rPr>
                <w:rFonts w:hint="eastAsia" w:ascii="仿宋_GB2312" w:hAnsi="仿宋_GB2312" w:eastAsia="仿宋_GB2312" w:cs="仿宋_GB2312"/>
              </w:rPr>
              <w:t>万元以上</w:t>
            </w:r>
          </w:p>
        </w:tc>
        <w:tc>
          <w:tcPr>
            <w:tcW w:w="1305" w:type="dxa"/>
            <w:tcBorders>
              <w:top w:val="nil"/>
              <w:left w:val="single" w:color="auto" w:sz="6" w:space="0"/>
              <w:bottom w:val="single" w:color="auto" w:sz="6" w:space="0"/>
              <w:right w:val="single" w:color="auto" w:sz="6" w:space="0"/>
            </w:tcBorders>
            <w:vAlign w:val="center"/>
          </w:tcPr>
          <w:p w14:paraId="36F2B6AE">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15</w:t>
            </w:r>
            <w:r>
              <w:rPr>
                <w:rFonts w:hint="eastAsia" w:ascii="仿宋_GB2312" w:hAnsi="仿宋_GB2312" w:eastAsia="仿宋_GB2312" w:cs="仿宋_GB2312"/>
              </w:rPr>
              <w:t>分</w:t>
            </w:r>
          </w:p>
        </w:tc>
      </w:tr>
      <w:tr w14:paraId="2E8FCF7A">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6" w:space="0"/>
              <w:bottom w:val="single" w:color="auto" w:sz="6" w:space="0"/>
              <w:right w:val="single" w:color="auto" w:sz="6" w:space="0"/>
            </w:tcBorders>
            <w:vAlign w:val="center"/>
          </w:tcPr>
          <w:p w14:paraId="7740F45B">
            <w:pPr>
              <w:spacing w:line="340" w:lineRule="exact"/>
              <w:jc w:val="center"/>
              <w:rPr>
                <w:rFonts w:hint="eastAsia" w:ascii="仿宋_GB2312" w:hAnsi="仿宋_GB2312" w:eastAsia="仿宋_GB2312" w:cs="仿宋_GB2312"/>
              </w:rPr>
            </w:pPr>
          </w:p>
        </w:tc>
        <w:tc>
          <w:tcPr>
            <w:tcW w:w="1114" w:type="dxa"/>
            <w:vMerge w:val="continue"/>
            <w:tcBorders>
              <w:top w:val="nil"/>
              <w:left w:val="single" w:color="auto" w:sz="6" w:space="0"/>
              <w:bottom w:val="single" w:color="auto" w:sz="6" w:space="0"/>
              <w:right w:val="single" w:color="auto" w:sz="6" w:space="0"/>
            </w:tcBorders>
            <w:vAlign w:val="center"/>
          </w:tcPr>
          <w:p w14:paraId="5BCF207C">
            <w:pPr>
              <w:spacing w:line="340" w:lineRule="exact"/>
              <w:jc w:val="center"/>
              <w:rPr>
                <w:rFonts w:hint="eastAsia" w:ascii="仿宋_GB2312" w:hAnsi="仿宋_GB2312" w:eastAsia="仿宋_GB2312" w:cs="仿宋_GB2312"/>
              </w:rPr>
            </w:pPr>
          </w:p>
        </w:tc>
        <w:tc>
          <w:tcPr>
            <w:tcW w:w="5756" w:type="dxa"/>
            <w:tcBorders>
              <w:top w:val="nil"/>
              <w:left w:val="single" w:color="auto" w:sz="6" w:space="0"/>
              <w:bottom w:val="single" w:color="auto" w:sz="6" w:space="0"/>
              <w:right w:val="single" w:color="auto" w:sz="6" w:space="0"/>
            </w:tcBorders>
            <w:vAlign w:val="center"/>
          </w:tcPr>
          <w:p w14:paraId="043198C3">
            <w:pPr>
              <w:spacing w:line="340" w:lineRule="exact"/>
              <w:jc w:val="left"/>
              <w:rPr>
                <w:rFonts w:hint="eastAsia" w:ascii="仿宋_GB2312" w:hAnsi="仿宋_GB2312" w:eastAsia="仿宋_GB2312" w:cs="仿宋_GB2312"/>
              </w:rPr>
            </w:pPr>
            <w:r>
              <w:rPr>
                <w:rFonts w:hint="eastAsia" w:ascii="Times New Roman" w:hAnsi="Times New Roman" w:eastAsia="仿宋_GB2312" w:cs="仿宋_GB2312"/>
              </w:rPr>
              <w:t>10</w:t>
            </w:r>
            <w:r>
              <w:rPr>
                <w:rFonts w:hint="eastAsia" w:ascii="仿宋_GB2312" w:hAnsi="仿宋_GB2312" w:eastAsia="仿宋_GB2312" w:cs="仿宋_GB2312"/>
              </w:rPr>
              <w:t>万元（含）—</w:t>
            </w:r>
            <w:r>
              <w:rPr>
                <w:rFonts w:hint="eastAsia" w:ascii="Times New Roman" w:hAnsi="Times New Roman" w:eastAsia="仿宋_GB2312" w:cs="仿宋_GB2312"/>
              </w:rPr>
              <w:t>50</w:t>
            </w:r>
            <w:r>
              <w:rPr>
                <w:rFonts w:hint="eastAsia" w:ascii="仿宋_GB2312" w:hAnsi="仿宋_GB2312" w:eastAsia="仿宋_GB2312" w:cs="仿宋_GB2312"/>
              </w:rPr>
              <w:t>万（含）</w:t>
            </w:r>
          </w:p>
        </w:tc>
        <w:tc>
          <w:tcPr>
            <w:tcW w:w="1305" w:type="dxa"/>
            <w:tcBorders>
              <w:top w:val="nil"/>
              <w:left w:val="single" w:color="auto" w:sz="6" w:space="0"/>
              <w:bottom w:val="single" w:color="auto" w:sz="6" w:space="0"/>
              <w:right w:val="single" w:color="auto" w:sz="6" w:space="0"/>
            </w:tcBorders>
            <w:vAlign w:val="center"/>
          </w:tcPr>
          <w:p w14:paraId="351D6D1B">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10</w:t>
            </w:r>
            <w:r>
              <w:rPr>
                <w:rFonts w:hint="eastAsia" w:ascii="仿宋_GB2312" w:hAnsi="仿宋_GB2312" w:eastAsia="仿宋_GB2312" w:cs="仿宋_GB2312"/>
              </w:rPr>
              <w:t>分</w:t>
            </w:r>
          </w:p>
        </w:tc>
      </w:tr>
      <w:tr w14:paraId="22286BF7">
        <w:tblPrEx>
          <w:tblCellMar>
            <w:top w:w="0" w:type="dxa"/>
            <w:left w:w="0" w:type="dxa"/>
            <w:bottom w:w="0" w:type="dxa"/>
            <w:right w:w="0" w:type="dxa"/>
          </w:tblCellMar>
        </w:tblPrEx>
        <w:trPr>
          <w:trHeight w:val="371" w:hRule="atLeast"/>
          <w:jc w:val="center"/>
        </w:trPr>
        <w:tc>
          <w:tcPr>
            <w:tcW w:w="0" w:type="auto"/>
            <w:vMerge w:val="continue"/>
            <w:tcBorders>
              <w:top w:val="nil"/>
              <w:left w:val="single" w:color="auto" w:sz="6" w:space="0"/>
              <w:bottom w:val="single" w:color="auto" w:sz="6" w:space="0"/>
              <w:right w:val="single" w:color="auto" w:sz="6" w:space="0"/>
            </w:tcBorders>
            <w:vAlign w:val="center"/>
          </w:tcPr>
          <w:p w14:paraId="3AE3B0A8">
            <w:pPr>
              <w:spacing w:line="340" w:lineRule="exact"/>
              <w:jc w:val="center"/>
              <w:rPr>
                <w:rFonts w:hint="eastAsia" w:ascii="仿宋_GB2312" w:hAnsi="仿宋_GB2312" w:eastAsia="仿宋_GB2312" w:cs="仿宋_GB2312"/>
              </w:rPr>
            </w:pPr>
          </w:p>
        </w:tc>
        <w:tc>
          <w:tcPr>
            <w:tcW w:w="1114" w:type="dxa"/>
            <w:vMerge w:val="continue"/>
            <w:tcBorders>
              <w:top w:val="nil"/>
              <w:left w:val="single" w:color="auto" w:sz="6" w:space="0"/>
              <w:bottom w:val="single" w:color="auto" w:sz="6" w:space="0"/>
              <w:right w:val="single" w:color="auto" w:sz="6" w:space="0"/>
            </w:tcBorders>
            <w:vAlign w:val="center"/>
          </w:tcPr>
          <w:p w14:paraId="6E1B29F2">
            <w:pPr>
              <w:spacing w:line="340" w:lineRule="exact"/>
              <w:jc w:val="center"/>
              <w:rPr>
                <w:rFonts w:hint="eastAsia" w:ascii="仿宋_GB2312" w:hAnsi="仿宋_GB2312" w:eastAsia="仿宋_GB2312" w:cs="仿宋_GB2312"/>
              </w:rPr>
            </w:pPr>
          </w:p>
        </w:tc>
        <w:tc>
          <w:tcPr>
            <w:tcW w:w="5756" w:type="dxa"/>
            <w:tcBorders>
              <w:top w:val="nil"/>
              <w:left w:val="single" w:color="auto" w:sz="6" w:space="0"/>
              <w:bottom w:val="single" w:color="auto" w:sz="6" w:space="0"/>
              <w:right w:val="single" w:color="auto" w:sz="6" w:space="0"/>
            </w:tcBorders>
            <w:vAlign w:val="center"/>
          </w:tcPr>
          <w:p w14:paraId="1EFE46E4">
            <w:pPr>
              <w:spacing w:line="340" w:lineRule="exact"/>
              <w:jc w:val="left"/>
              <w:rPr>
                <w:rFonts w:hint="eastAsia" w:ascii="仿宋_GB2312" w:hAnsi="仿宋_GB2312" w:eastAsia="仿宋_GB2312" w:cs="仿宋_GB2312"/>
              </w:rPr>
            </w:pPr>
            <w:r>
              <w:rPr>
                <w:rFonts w:hint="eastAsia" w:ascii="仿宋_GB2312" w:hAnsi="仿宋_GB2312" w:eastAsia="仿宋_GB2312" w:cs="仿宋_GB2312"/>
              </w:rPr>
              <w:t>正常营业且缴纳税收</w:t>
            </w:r>
            <w:r>
              <w:rPr>
                <w:rFonts w:hint="eastAsia" w:ascii="Times New Roman" w:hAnsi="Times New Roman" w:eastAsia="仿宋_GB2312" w:cs="仿宋_GB2312"/>
              </w:rPr>
              <w:t>10</w:t>
            </w:r>
            <w:r>
              <w:rPr>
                <w:rFonts w:hint="eastAsia" w:ascii="仿宋_GB2312" w:hAnsi="仿宋_GB2312" w:eastAsia="仿宋_GB2312" w:cs="仿宋_GB2312"/>
              </w:rPr>
              <w:t>万（不含）以下</w:t>
            </w:r>
          </w:p>
        </w:tc>
        <w:tc>
          <w:tcPr>
            <w:tcW w:w="1305" w:type="dxa"/>
            <w:tcBorders>
              <w:top w:val="nil"/>
              <w:left w:val="single" w:color="auto" w:sz="6" w:space="0"/>
              <w:bottom w:val="single" w:color="auto" w:sz="6" w:space="0"/>
              <w:right w:val="single" w:color="auto" w:sz="6" w:space="0"/>
            </w:tcBorders>
            <w:vAlign w:val="center"/>
          </w:tcPr>
          <w:p w14:paraId="2498BA46">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5</w:t>
            </w:r>
            <w:r>
              <w:rPr>
                <w:rFonts w:hint="eastAsia" w:ascii="仿宋_GB2312" w:hAnsi="仿宋_GB2312" w:eastAsia="仿宋_GB2312" w:cs="仿宋_GB2312"/>
              </w:rPr>
              <w:t>分</w:t>
            </w:r>
          </w:p>
        </w:tc>
      </w:tr>
      <w:tr w14:paraId="2810F355">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6" w:space="0"/>
              <w:bottom w:val="single" w:color="auto" w:sz="6" w:space="0"/>
              <w:right w:val="single" w:color="auto" w:sz="6" w:space="0"/>
            </w:tcBorders>
            <w:vAlign w:val="center"/>
          </w:tcPr>
          <w:p w14:paraId="417282F1">
            <w:pPr>
              <w:spacing w:line="340" w:lineRule="exact"/>
              <w:jc w:val="center"/>
              <w:rPr>
                <w:rFonts w:hint="eastAsia" w:ascii="仿宋_GB2312" w:hAnsi="仿宋_GB2312" w:eastAsia="仿宋_GB2312" w:cs="仿宋_GB2312"/>
              </w:rPr>
            </w:pPr>
          </w:p>
        </w:tc>
        <w:tc>
          <w:tcPr>
            <w:tcW w:w="1114" w:type="dxa"/>
            <w:tcBorders>
              <w:top w:val="nil"/>
              <w:left w:val="single" w:color="auto" w:sz="6" w:space="0"/>
              <w:bottom w:val="single" w:color="auto" w:sz="6" w:space="0"/>
              <w:right w:val="single" w:color="auto" w:sz="6" w:space="0"/>
            </w:tcBorders>
            <w:vAlign w:val="center"/>
          </w:tcPr>
          <w:p w14:paraId="79A26064">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服务企业</w:t>
            </w:r>
          </w:p>
          <w:p w14:paraId="51949302">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10</w:t>
            </w:r>
            <w:r>
              <w:rPr>
                <w:rFonts w:hint="eastAsia" w:ascii="仿宋_GB2312" w:hAnsi="仿宋_GB2312" w:eastAsia="仿宋_GB2312" w:cs="仿宋_GB2312"/>
              </w:rPr>
              <w:t>分）</w:t>
            </w:r>
          </w:p>
        </w:tc>
        <w:tc>
          <w:tcPr>
            <w:tcW w:w="5756" w:type="dxa"/>
            <w:tcBorders>
              <w:top w:val="nil"/>
              <w:left w:val="single" w:color="auto" w:sz="6" w:space="0"/>
              <w:bottom w:val="single" w:color="auto" w:sz="6" w:space="0"/>
              <w:right w:val="single" w:color="auto" w:sz="6" w:space="0"/>
            </w:tcBorders>
            <w:vAlign w:val="center"/>
          </w:tcPr>
          <w:p w14:paraId="39FBFDA4">
            <w:pPr>
              <w:spacing w:line="340" w:lineRule="exact"/>
              <w:jc w:val="left"/>
              <w:rPr>
                <w:rFonts w:hint="eastAsia" w:ascii="仿宋_GB2312" w:hAnsi="仿宋_GB2312" w:eastAsia="仿宋_GB2312" w:cs="仿宋_GB2312"/>
              </w:rPr>
            </w:pPr>
            <w:r>
              <w:rPr>
                <w:rFonts w:hint="eastAsia" w:ascii="仿宋_GB2312" w:hAnsi="仿宋_GB2312" w:eastAsia="仿宋_GB2312" w:cs="仿宋_GB2312"/>
              </w:rPr>
              <w:t>服务当地实体经济/用人单位的（服务</w:t>
            </w:r>
            <w:r>
              <w:rPr>
                <w:rFonts w:hint="eastAsia" w:ascii="Times New Roman" w:hAnsi="Times New Roman" w:eastAsia="仿宋_GB2312" w:cs="仿宋_GB2312"/>
                <w:lang w:val="en-US" w:eastAsia="zh-CN"/>
              </w:rPr>
              <w:t>5</w:t>
            </w:r>
            <w:r>
              <w:rPr>
                <w:rFonts w:hint="eastAsia" w:ascii="仿宋_GB2312" w:hAnsi="仿宋_GB2312" w:eastAsia="仿宋_GB2312" w:cs="仿宋_GB2312"/>
              </w:rPr>
              <w:t>家</w:t>
            </w:r>
            <w:r>
              <w:rPr>
                <w:rFonts w:hint="eastAsia" w:ascii="仿宋_GB2312" w:hAnsi="仿宋_GB2312" w:eastAsia="仿宋_GB2312" w:cs="仿宋_GB2312"/>
                <w:lang w:val="en-US" w:eastAsia="zh-CN"/>
              </w:rPr>
              <w:t>规</w:t>
            </w:r>
            <w:r>
              <w:rPr>
                <w:rFonts w:hint="eastAsia" w:ascii="仿宋_GB2312" w:hAnsi="仿宋_GB2312" w:eastAsia="仿宋_GB2312" w:cs="仿宋_GB2312"/>
              </w:rPr>
              <w:t>上企业得</w:t>
            </w:r>
            <w:r>
              <w:rPr>
                <w:rFonts w:hint="eastAsia" w:ascii="Times New Roman" w:hAnsi="Times New Roman" w:eastAsia="仿宋_GB2312" w:cs="仿宋_GB2312"/>
              </w:rPr>
              <w:t>10</w:t>
            </w:r>
            <w:r>
              <w:rPr>
                <w:rFonts w:hint="eastAsia" w:ascii="仿宋_GB2312" w:hAnsi="仿宋_GB2312" w:eastAsia="仿宋_GB2312" w:cs="仿宋_GB2312"/>
              </w:rPr>
              <w:t>分，服务不满</w:t>
            </w:r>
            <w:r>
              <w:rPr>
                <w:rFonts w:hint="eastAsia" w:ascii="Times New Roman" w:hAnsi="Times New Roman" w:eastAsia="仿宋_GB2312" w:cs="仿宋_GB2312"/>
                <w:lang w:val="en-US" w:eastAsia="zh-CN"/>
              </w:rPr>
              <w:t>5</w:t>
            </w:r>
            <w:r>
              <w:rPr>
                <w:rFonts w:hint="eastAsia" w:ascii="仿宋_GB2312" w:hAnsi="仿宋_GB2312" w:eastAsia="仿宋_GB2312" w:cs="仿宋_GB2312"/>
              </w:rPr>
              <w:t>家的，按比例折算）</w:t>
            </w:r>
          </w:p>
        </w:tc>
        <w:tc>
          <w:tcPr>
            <w:tcW w:w="1305" w:type="dxa"/>
            <w:tcBorders>
              <w:top w:val="nil"/>
              <w:left w:val="single" w:color="auto" w:sz="6" w:space="0"/>
              <w:bottom w:val="single" w:color="auto" w:sz="6" w:space="0"/>
              <w:right w:val="single" w:color="auto" w:sz="6" w:space="0"/>
            </w:tcBorders>
            <w:vAlign w:val="center"/>
          </w:tcPr>
          <w:p w14:paraId="5FDF01C7">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0</w:t>
            </w:r>
            <w:r>
              <w:rPr>
                <w:rFonts w:hint="eastAsia" w:ascii="仿宋_GB2312" w:hAnsi="仿宋_GB2312" w:eastAsia="仿宋_GB2312" w:cs="仿宋_GB2312"/>
              </w:rPr>
              <w:t>～</w:t>
            </w:r>
            <w:r>
              <w:rPr>
                <w:rFonts w:hint="eastAsia" w:ascii="Times New Roman" w:hAnsi="Times New Roman" w:eastAsia="仿宋_GB2312" w:cs="仿宋_GB2312"/>
              </w:rPr>
              <w:t>10</w:t>
            </w:r>
            <w:r>
              <w:rPr>
                <w:rFonts w:hint="eastAsia" w:ascii="仿宋_GB2312" w:hAnsi="仿宋_GB2312" w:eastAsia="仿宋_GB2312" w:cs="仿宋_GB2312"/>
              </w:rPr>
              <w:t>分</w:t>
            </w:r>
          </w:p>
        </w:tc>
      </w:tr>
      <w:tr w14:paraId="6E38C445">
        <w:tblPrEx>
          <w:tblCellMar>
            <w:top w:w="0" w:type="dxa"/>
            <w:left w:w="0" w:type="dxa"/>
            <w:bottom w:w="0" w:type="dxa"/>
            <w:right w:w="0" w:type="dxa"/>
          </w:tblCellMar>
        </w:tblPrEx>
        <w:trPr>
          <w:trHeight w:val="90" w:hRule="atLeast"/>
          <w:jc w:val="center"/>
        </w:trPr>
        <w:tc>
          <w:tcPr>
            <w:tcW w:w="900" w:type="dxa"/>
            <w:vMerge w:val="restart"/>
            <w:tcBorders>
              <w:top w:val="nil"/>
              <w:left w:val="single" w:color="auto" w:sz="6" w:space="0"/>
              <w:bottom w:val="single" w:color="auto" w:sz="6" w:space="0"/>
              <w:right w:val="single" w:color="auto" w:sz="6" w:space="0"/>
            </w:tcBorders>
            <w:vAlign w:val="center"/>
          </w:tcPr>
          <w:p w14:paraId="086E1690">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日常</w:t>
            </w:r>
          </w:p>
          <w:p w14:paraId="5946663A">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考核</w:t>
            </w:r>
          </w:p>
          <w:p w14:paraId="3C4FB60A">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60</w:t>
            </w:r>
            <w:r>
              <w:rPr>
                <w:rFonts w:hint="eastAsia" w:ascii="仿宋_GB2312" w:hAnsi="仿宋_GB2312" w:eastAsia="仿宋_GB2312" w:cs="仿宋_GB2312"/>
              </w:rPr>
              <w:t>分）</w:t>
            </w:r>
          </w:p>
          <w:p w14:paraId="77126D95">
            <w:pPr>
              <w:spacing w:line="340" w:lineRule="exact"/>
              <w:jc w:val="center"/>
              <w:rPr>
                <w:rFonts w:hint="eastAsia" w:ascii="仿宋_GB2312" w:hAnsi="仿宋_GB2312" w:eastAsia="仿宋_GB2312" w:cs="仿宋_GB2312"/>
              </w:rPr>
            </w:pPr>
          </w:p>
        </w:tc>
        <w:tc>
          <w:tcPr>
            <w:tcW w:w="1114" w:type="dxa"/>
            <w:tcBorders>
              <w:top w:val="nil"/>
              <w:left w:val="single" w:color="auto" w:sz="6" w:space="0"/>
              <w:bottom w:val="single" w:color="auto" w:sz="6" w:space="0"/>
              <w:right w:val="single" w:color="auto" w:sz="6" w:space="0"/>
            </w:tcBorders>
            <w:vAlign w:val="center"/>
          </w:tcPr>
          <w:p w14:paraId="2A168D53">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人员到岗</w:t>
            </w:r>
          </w:p>
          <w:p w14:paraId="393E4EB1">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12</w:t>
            </w:r>
            <w:r>
              <w:rPr>
                <w:rFonts w:hint="eastAsia" w:ascii="仿宋_GB2312" w:hAnsi="仿宋_GB2312" w:eastAsia="仿宋_GB2312" w:cs="仿宋_GB2312"/>
              </w:rPr>
              <w:t>分）</w:t>
            </w:r>
          </w:p>
        </w:tc>
        <w:tc>
          <w:tcPr>
            <w:tcW w:w="5756" w:type="dxa"/>
            <w:tcBorders>
              <w:top w:val="nil"/>
              <w:left w:val="single" w:color="auto" w:sz="6" w:space="0"/>
              <w:bottom w:val="single" w:color="auto" w:sz="6" w:space="0"/>
              <w:right w:val="single" w:color="auto" w:sz="6" w:space="0"/>
            </w:tcBorders>
            <w:vAlign w:val="center"/>
          </w:tcPr>
          <w:p w14:paraId="4DD8D514">
            <w:pPr>
              <w:spacing w:line="340" w:lineRule="exact"/>
              <w:jc w:val="left"/>
              <w:rPr>
                <w:rFonts w:hint="eastAsia" w:ascii="仿宋_GB2312" w:hAnsi="仿宋_GB2312" w:eastAsia="仿宋_GB2312" w:cs="仿宋_GB2312"/>
              </w:rPr>
            </w:pPr>
            <w:r>
              <w:rPr>
                <w:rFonts w:hint="eastAsia" w:ascii="仿宋_GB2312" w:hAnsi="仿宋_GB2312" w:eastAsia="仿宋_GB2312" w:cs="仿宋_GB2312"/>
              </w:rPr>
              <w:t>人员完全到岗且社保齐全得</w:t>
            </w:r>
            <w:r>
              <w:rPr>
                <w:rFonts w:hint="eastAsia" w:ascii="Times New Roman" w:hAnsi="Times New Roman" w:eastAsia="仿宋_GB2312" w:cs="仿宋_GB2312"/>
              </w:rPr>
              <w:t>12</w:t>
            </w:r>
            <w:r>
              <w:rPr>
                <w:rFonts w:hint="eastAsia" w:ascii="仿宋_GB2312" w:hAnsi="仿宋_GB2312" w:eastAsia="仿宋_GB2312" w:cs="仿宋_GB2312"/>
              </w:rPr>
              <w:t>分，入驻人数不满足核定人数，按比例折算</w:t>
            </w:r>
          </w:p>
        </w:tc>
        <w:tc>
          <w:tcPr>
            <w:tcW w:w="1305" w:type="dxa"/>
            <w:tcBorders>
              <w:top w:val="nil"/>
              <w:left w:val="single" w:color="auto" w:sz="6" w:space="0"/>
              <w:bottom w:val="single" w:color="auto" w:sz="6" w:space="0"/>
              <w:right w:val="single" w:color="auto" w:sz="6" w:space="0"/>
            </w:tcBorders>
            <w:vAlign w:val="center"/>
          </w:tcPr>
          <w:p w14:paraId="484832EE">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0</w:t>
            </w:r>
            <w:r>
              <w:rPr>
                <w:rFonts w:hint="eastAsia" w:ascii="仿宋_GB2312" w:hAnsi="仿宋_GB2312" w:eastAsia="仿宋_GB2312" w:cs="仿宋_GB2312"/>
              </w:rPr>
              <w:t>～</w:t>
            </w:r>
            <w:r>
              <w:rPr>
                <w:rFonts w:hint="eastAsia" w:ascii="Times New Roman" w:hAnsi="Times New Roman" w:eastAsia="仿宋_GB2312" w:cs="仿宋_GB2312"/>
              </w:rPr>
              <w:t>12</w:t>
            </w:r>
            <w:r>
              <w:rPr>
                <w:rFonts w:hint="eastAsia" w:ascii="仿宋_GB2312" w:hAnsi="仿宋_GB2312" w:eastAsia="仿宋_GB2312" w:cs="仿宋_GB2312"/>
              </w:rPr>
              <w:t>分</w:t>
            </w:r>
          </w:p>
        </w:tc>
      </w:tr>
      <w:tr w14:paraId="6D15F154">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6" w:space="0"/>
              <w:bottom w:val="single" w:color="auto" w:sz="6" w:space="0"/>
              <w:right w:val="single" w:color="auto" w:sz="6" w:space="0"/>
            </w:tcBorders>
            <w:vAlign w:val="center"/>
          </w:tcPr>
          <w:p w14:paraId="4DA26878">
            <w:pPr>
              <w:spacing w:line="340" w:lineRule="exact"/>
              <w:jc w:val="center"/>
              <w:rPr>
                <w:rFonts w:hint="eastAsia" w:ascii="仿宋_GB2312" w:hAnsi="仿宋_GB2312" w:eastAsia="仿宋_GB2312" w:cs="仿宋_GB2312"/>
              </w:rPr>
            </w:pPr>
          </w:p>
        </w:tc>
        <w:tc>
          <w:tcPr>
            <w:tcW w:w="1114" w:type="dxa"/>
            <w:tcBorders>
              <w:top w:val="nil"/>
              <w:left w:val="single" w:color="auto" w:sz="6" w:space="0"/>
              <w:bottom w:val="single" w:color="auto" w:sz="6" w:space="0"/>
              <w:right w:val="single" w:color="auto" w:sz="6" w:space="0"/>
            </w:tcBorders>
            <w:vAlign w:val="center"/>
          </w:tcPr>
          <w:p w14:paraId="1ADA1791">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缴费情况</w:t>
            </w:r>
          </w:p>
          <w:p w14:paraId="65292351">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12</w:t>
            </w:r>
            <w:r>
              <w:rPr>
                <w:rFonts w:hint="eastAsia" w:ascii="仿宋_GB2312" w:hAnsi="仿宋_GB2312" w:eastAsia="仿宋_GB2312" w:cs="仿宋_GB2312"/>
              </w:rPr>
              <w:t>分）</w:t>
            </w:r>
          </w:p>
        </w:tc>
        <w:tc>
          <w:tcPr>
            <w:tcW w:w="5756" w:type="dxa"/>
            <w:tcBorders>
              <w:top w:val="nil"/>
              <w:left w:val="single" w:color="auto" w:sz="6" w:space="0"/>
              <w:bottom w:val="single" w:color="auto" w:sz="6" w:space="0"/>
              <w:right w:val="single" w:color="auto" w:sz="6" w:space="0"/>
            </w:tcBorders>
            <w:vAlign w:val="center"/>
          </w:tcPr>
          <w:p w14:paraId="6E72C54A">
            <w:pPr>
              <w:spacing w:line="340" w:lineRule="exact"/>
              <w:jc w:val="left"/>
              <w:rPr>
                <w:rFonts w:hint="eastAsia" w:ascii="仿宋_GB2312" w:hAnsi="仿宋_GB2312" w:eastAsia="仿宋_GB2312" w:cs="仿宋_GB2312"/>
              </w:rPr>
            </w:pPr>
            <w:r>
              <w:rPr>
                <w:rFonts w:hint="eastAsia" w:ascii="仿宋_GB2312" w:hAnsi="仿宋_GB2312" w:eastAsia="仿宋_GB2312" w:cs="仿宋_GB2312"/>
              </w:rPr>
              <w:t>按要求缴纳水电费，及时足额缴纳得</w:t>
            </w:r>
            <w:r>
              <w:rPr>
                <w:rFonts w:hint="eastAsia" w:ascii="Times New Roman" w:hAnsi="Times New Roman" w:eastAsia="仿宋_GB2312" w:cs="仿宋_GB2312"/>
              </w:rPr>
              <w:t>12</w:t>
            </w:r>
            <w:r>
              <w:rPr>
                <w:rFonts w:hint="eastAsia" w:ascii="仿宋_GB2312" w:hAnsi="仿宋_GB2312" w:eastAsia="仿宋_GB2312" w:cs="仿宋_GB2312"/>
              </w:rPr>
              <w:t>分，每次超出</w:t>
            </w:r>
            <w:r>
              <w:rPr>
                <w:rFonts w:hint="eastAsia" w:ascii="Times New Roman" w:hAnsi="Times New Roman" w:eastAsia="仿宋_GB2312" w:cs="仿宋_GB2312"/>
              </w:rPr>
              <w:t>1</w:t>
            </w:r>
            <w:r>
              <w:rPr>
                <w:rFonts w:hint="eastAsia" w:ascii="仿宋_GB2312" w:hAnsi="仿宋_GB2312" w:eastAsia="仿宋_GB2312" w:cs="仿宋_GB2312"/>
              </w:rPr>
              <w:t>周缴纳扣</w:t>
            </w:r>
            <w:r>
              <w:rPr>
                <w:rFonts w:hint="eastAsia" w:ascii="Times New Roman" w:hAnsi="Times New Roman" w:eastAsia="仿宋_GB2312" w:cs="仿宋_GB2312"/>
              </w:rPr>
              <w:t>2</w:t>
            </w:r>
            <w:r>
              <w:rPr>
                <w:rFonts w:hint="eastAsia" w:ascii="仿宋_GB2312" w:hAnsi="仿宋_GB2312" w:eastAsia="仿宋_GB2312" w:cs="仿宋_GB2312"/>
              </w:rPr>
              <w:t>分</w:t>
            </w:r>
          </w:p>
        </w:tc>
        <w:tc>
          <w:tcPr>
            <w:tcW w:w="1305" w:type="dxa"/>
            <w:tcBorders>
              <w:top w:val="nil"/>
              <w:left w:val="single" w:color="auto" w:sz="6" w:space="0"/>
              <w:bottom w:val="single" w:color="auto" w:sz="6" w:space="0"/>
              <w:right w:val="single" w:color="auto" w:sz="6" w:space="0"/>
            </w:tcBorders>
            <w:vAlign w:val="center"/>
          </w:tcPr>
          <w:p w14:paraId="1F5327EA">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0</w:t>
            </w:r>
            <w:r>
              <w:rPr>
                <w:rFonts w:hint="eastAsia" w:ascii="仿宋_GB2312" w:hAnsi="仿宋_GB2312" w:eastAsia="仿宋_GB2312" w:cs="仿宋_GB2312"/>
              </w:rPr>
              <w:t>～</w:t>
            </w:r>
            <w:r>
              <w:rPr>
                <w:rFonts w:hint="eastAsia" w:ascii="Times New Roman" w:hAnsi="Times New Roman" w:eastAsia="仿宋_GB2312" w:cs="仿宋_GB2312"/>
                <w:lang w:val="en-US" w:eastAsia="zh-CN"/>
              </w:rPr>
              <w:t>4</w:t>
            </w:r>
            <w:r>
              <w:rPr>
                <w:rFonts w:hint="eastAsia" w:ascii="仿宋_GB2312" w:hAnsi="仿宋_GB2312" w:eastAsia="仿宋_GB2312" w:cs="仿宋_GB2312"/>
              </w:rPr>
              <w:t>分</w:t>
            </w:r>
          </w:p>
        </w:tc>
      </w:tr>
      <w:tr w14:paraId="6C7B0538">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6" w:space="0"/>
              <w:bottom w:val="single" w:color="auto" w:sz="6" w:space="0"/>
              <w:right w:val="single" w:color="auto" w:sz="6" w:space="0"/>
            </w:tcBorders>
            <w:vAlign w:val="center"/>
          </w:tcPr>
          <w:p w14:paraId="4BC9B5F0">
            <w:pPr>
              <w:spacing w:line="340" w:lineRule="exact"/>
              <w:jc w:val="center"/>
              <w:rPr>
                <w:rFonts w:hint="eastAsia" w:ascii="仿宋_GB2312" w:hAnsi="仿宋_GB2312" w:eastAsia="仿宋_GB2312" w:cs="仿宋_GB2312"/>
              </w:rPr>
            </w:pPr>
          </w:p>
        </w:tc>
        <w:tc>
          <w:tcPr>
            <w:tcW w:w="1114" w:type="dxa"/>
            <w:tcBorders>
              <w:top w:val="nil"/>
              <w:left w:val="single" w:color="auto" w:sz="6" w:space="0"/>
              <w:bottom w:val="single" w:color="auto" w:sz="6" w:space="0"/>
              <w:right w:val="single" w:color="auto" w:sz="6" w:space="0"/>
            </w:tcBorders>
            <w:vAlign w:val="center"/>
          </w:tcPr>
          <w:p w14:paraId="0E427C77">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报表提交</w:t>
            </w:r>
          </w:p>
          <w:p w14:paraId="6A5A6FDD">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12</w:t>
            </w:r>
            <w:r>
              <w:rPr>
                <w:rFonts w:hint="eastAsia" w:ascii="仿宋_GB2312" w:hAnsi="仿宋_GB2312" w:eastAsia="仿宋_GB2312" w:cs="仿宋_GB2312"/>
              </w:rPr>
              <w:t>分）</w:t>
            </w:r>
          </w:p>
        </w:tc>
        <w:tc>
          <w:tcPr>
            <w:tcW w:w="5756" w:type="dxa"/>
            <w:tcBorders>
              <w:top w:val="nil"/>
              <w:left w:val="single" w:color="auto" w:sz="6" w:space="0"/>
              <w:bottom w:val="single" w:color="auto" w:sz="6" w:space="0"/>
              <w:right w:val="single" w:color="auto" w:sz="6" w:space="0"/>
            </w:tcBorders>
            <w:vAlign w:val="center"/>
          </w:tcPr>
          <w:p w14:paraId="7F069B43">
            <w:pPr>
              <w:spacing w:line="340" w:lineRule="exact"/>
              <w:jc w:val="left"/>
              <w:rPr>
                <w:rFonts w:hint="default" w:ascii="仿宋_GB2312" w:hAnsi="仿宋_GB2312" w:eastAsia="仿宋_GB2312" w:cs="仿宋_GB2312"/>
                <w:lang w:val="en-US" w:eastAsia="zh-CN"/>
              </w:rPr>
            </w:pPr>
            <w:r>
              <w:rPr>
                <w:rFonts w:hint="eastAsia" w:ascii="仿宋_GB2312" w:hAnsi="仿宋_GB2312" w:eastAsia="仿宋_GB2312" w:cs="仿宋_GB2312"/>
              </w:rPr>
              <w:t>配合运营公司数据统计，提报数据报表及相关佐证材料，报表资料完整得</w:t>
            </w:r>
            <w:r>
              <w:rPr>
                <w:rFonts w:hint="eastAsia" w:ascii="Times New Roman" w:hAnsi="Times New Roman" w:eastAsia="仿宋_GB2312" w:cs="仿宋_GB2312"/>
              </w:rPr>
              <w:t>12</w:t>
            </w:r>
            <w:r>
              <w:rPr>
                <w:rFonts w:hint="eastAsia" w:ascii="仿宋_GB2312" w:hAnsi="仿宋_GB2312" w:eastAsia="仿宋_GB2312" w:cs="仿宋_GB2312"/>
              </w:rPr>
              <w:t>分，每</w:t>
            </w:r>
            <w:r>
              <w:rPr>
                <w:rFonts w:hint="eastAsia" w:ascii="仿宋_GB2312" w:hAnsi="仿宋_GB2312" w:eastAsia="仿宋_GB2312" w:cs="仿宋_GB2312"/>
                <w:lang w:val="en-US" w:eastAsia="zh-CN"/>
              </w:rPr>
              <w:t>迟报1次</w:t>
            </w:r>
            <w:r>
              <w:rPr>
                <w:rFonts w:hint="eastAsia" w:ascii="仿宋_GB2312" w:hAnsi="仿宋_GB2312" w:eastAsia="仿宋_GB2312" w:cs="仿宋_GB2312"/>
              </w:rPr>
              <w:t>扣</w:t>
            </w:r>
            <w:r>
              <w:rPr>
                <w:rFonts w:hint="eastAsia" w:ascii="Times New Roman" w:hAnsi="Times New Roman" w:eastAsia="仿宋_GB2312" w:cs="仿宋_GB2312"/>
              </w:rPr>
              <w:t>2</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漏报1次扣5分。</w:t>
            </w:r>
          </w:p>
        </w:tc>
        <w:tc>
          <w:tcPr>
            <w:tcW w:w="1305" w:type="dxa"/>
            <w:tcBorders>
              <w:top w:val="nil"/>
              <w:left w:val="single" w:color="auto" w:sz="6" w:space="0"/>
              <w:bottom w:val="single" w:color="auto" w:sz="6" w:space="0"/>
              <w:right w:val="single" w:color="auto" w:sz="6" w:space="0"/>
            </w:tcBorders>
            <w:vAlign w:val="center"/>
          </w:tcPr>
          <w:p w14:paraId="0AAE028B">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0</w:t>
            </w:r>
            <w:r>
              <w:rPr>
                <w:rFonts w:hint="eastAsia" w:ascii="仿宋_GB2312" w:hAnsi="仿宋_GB2312" w:eastAsia="仿宋_GB2312" w:cs="仿宋_GB2312"/>
              </w:rPr>
              <w:t>～</w:t>
            </w:r>
            <w:r>
              <w:rPr>
                <w:rFonts w:hint="eastAsia" w:ascii="Times New Roman" w:hAnsi="Times New Roman" w:eastAsia="仿宋_GB2312" w:cs="仿宋_GB2312"/>
              </w:rPr>
              <w:t>12</w:t>
            </w:r>
            <w:r>
              <w:rPr>
                <w:rFonts w:hint="eastAsia" w:ascii="仿宋_GB2312" w:hAnsi="仿宋_GB2312" w:eastAsia="仿宋_GB2312" w:cs="仿宋_GB2312"/>
              </w:rPr>
              <w:t>分</w:t>
            </w:r>
          </w:p>
        </w:tc>
      </w:tr>
      <w:tr w14:paraId="0E233B2B">
        <w:tblPrEx>
          <w:tblCellMar>
            <w:top w:w="0" w:type="dxa"/>
            <w:left w:w="0" w:type="dxa"/>
            <w:bottom w:w="0" w:type="dxa"/>
            <w:right w:w="0" w:type="dxa"/>
          </w:tblCellMar>
        </w:tblPrEx>
        <w:trPr>
          <w:trHeight w:val="952" w:hRule="atLeast"/>
          <w:jc w:val="center"/>
        </w:trPr>
        <w:tc>
          <w:tcPr>
            <w:tcW w:w="0" w:type="auto"/>
            <w:vMerge w:val="continue"/>
            <w:tcBorders>
              <w:top w:val="nil"/>
              <w:left w:val="single" w:color="auto" w:sz="6" w:space="0"/>
              <w:bottom w:val="single" w:color="auto" w:sz="6" w:space="0"/>
              <w:right w:val="single" w:color="auto" w:sz="6" w:space="0"/>
            </w:tcBorders>
            <w:vAlign w:val="center"/>
          </w:tcPr>
          <w:p w14:paraId="371571A8">
            <w:pPr>
              <w:spacing w:line="340" w:lineRule="exact"/>
              <w:jc w:val="center"/>
              <w:rPr>
                <w:rFonts w:hint="eastAsia" w:ascii="仿宋_GB2312" w:hAnsi="仿宋_GB2312" w:eastAsia="仿宋_GB2312" w:cs="仿宋_GB2312"/>
              </w:rPr>
            </w:pPr>
          </w:p>
        </w:tc>
        <w:tc>
          <w:tcPr>
            <w:tcW w:w="1114" w:type="dxa"/>
            <w:tcBorders>
              <w:top w:val="nil"/>
              <w:left w:val="single" w:color="auto" w:sz="6" w:space="0"/>
              <w:bottom w:val="single" w:color="auto" w:sz="6" w:space="0"/>
              <w:right w:val="single" w:color="auto" w:sz="6" w:space="0"/>
            </w:tcBorders>
            <w:vAlign w:val="center"/>
          </w:tcPr>
          <w:p w14:paraId="50068591">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活动配合</w:t>
            </w:r>
          </w:p>
          <w:p w14:paraId="126C459C">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12</w:t>
            </w:r>
            <w:r>
              <w:rPr>
                <w:rFonts w:hint="eastAsia" w:ascii="仿宋_GB2312" w:hAnsi="仿宋_GB2312" w:eastAsia="仿宋_GB2312" w:cs="仿宋_GB2312"/>
              </w:rPr>
              <w:t>分）</w:t>
            </w:r>
          </w:p>
        </w:tc>
        <w:tc>
          <w:tcPr>
            <w:tcW w:w="5756" w:type="dxa"/>
            <w:tcBorders>
              <w:top w:val="nil"/>
              <w:left w:val="single" w:color="auto" w:sz="6" w:space="0"/>
              <w:bottom w:val="single" w:color="auto" w:sz="6" w:space="0"/>
              <w:right w:val="single" w:color="auto" w:sz="6" w:space="0"/>
            </w:tcBorders>
            <w:vAlign w:val="center"/>
          </w:tcPr>
          <w:p w14:paraId="02FF6825">
            <w:pPr>
              <w:spacing w:line="340" w:lineRule="exact"/>
              <w:jc w:val="left"/>
              <w:rPr>
                <w:rFonts w:hint="eastAsia" w:ascii="仿宋_GB2312" w:hAnsi="仿宋_GB2312" w:eastAsia="仿宋_GB2312" w:cs="仿宋_GB2312"/>
              </w:rPr>
            </w:pPr>
            <w:r>
              <w:rPr>
                <w:rFonts w:hint="eastAsia" w:ascii="仿宋_GB2312" w:hAnsi="仿宋_GB2312" w:eastAsia="仿宋_GB2312" w:cs="仿宋_GB2312"/>
              </w:rPr>
              <w:t>积极参与、配合主管部门及运营公司组织的相关会议、活动、考察接待工作得</w:t>
            </w:r>
            <w:r>
              <w:rPr>
                <w:rFonts w:hint="eastAsia" w:ascii="Times New Roman" w:hAnsi="Times New Roman" w:eastAsia="仿宋_GB2312" w:cs="仿宋_GB2312"/>
              </w:rPr>
              <w:t>12</w:t>
            </w:r>
            <w:r>
              <w:rPr>
                <w:rFonts w:hint="eastAsia" w:ascii="仿宋_GB2312" w:hAnsi="仿宋_GB2312" w:eastAsia="仿宋_GB2312" w:cs="仿宋_GB2312"/>
              </w:rPr>
              <w:t>分</w:t>
            </w:r>
          </w:p>
        </w:tc>
        <w:tc>
          <w:tcPr>
            <w:tcW w:w="1305" w:type="dxa"/>
            <w:tcBorders>
              <w:top w:val="nil"/>
              <w:left w:val="single" w:color="auto" w:sz="6" w:space="0"/>
              <w:bottom w:val="single" w:color="auto" w:sz="6" w:space="0"/>
              <w:right w:val="single" w:color="auto" w:sz="6" w:space="0"/>
            </w:tcBorders>
            <w:vAlign w:val="center"/>
          </w:tcPr>
          <w:p w14:paraId="38FBF2A5">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0</w:t>
            </w:r>
            <w:r>
              <w:rPr>
                <w:rFonts w:hint="eastAsia" w:ascii="仿宋_GB2312" w:hAnsi="仿宋_GB2312" w:eastAsia="仿宋_GB2312" w:cs="仿宋_GB2312"/>
              </w:rPr>
              <w:t>～</w:t>
            </w:r>
            <w:r>
              <w:rPr>
                <w:rFonts w:hint="eastAsia" w:ascii="Times New Roman" w:hAnsi="Times New Roman" w:eastAsia="仿宋_GB2312" w:cs="仿宋_GB2312"/>
              </w:rPr>
              <w:t>12</w:t>
            </w:r>
            <w:r>
              <w:rPr>
                <w:rFonts w:hint="eastAsia" w:ascii="仿宋_GB2312" w:hAnsi="仿宋_GB2312" w:eastAsia="仿宋_GB2312" w:cs="仿宋_GB2312"/>
              </w:rPr>
              <w:t>分</w:t>
            </w:r>
          </w:p>
        </w:tc>
      </w:tr>
      <w:tr w14:paraId="3C470C04">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6" w:space="0"/>
              <w:bottom w:val="single" w:color="auto" w:sz="6" w:space="0"/>
              <w:right w:val="single" w:color="auto" w:sz="6" w:space="0"/>
            </w:tcBorders>
            <w:vAlign w:val="center"/>
          </w:tcPr>
          <w:p w14:paraId="10D35DF2">
            <w:pPr>
              <w:spacing w:line="340" w:lineRule="exact"/>
              <w:jc w:val="center"/>
              <w:rPr>
                <w:rFonts w:hint="eastAsia" w:ascii="仿宋_GB2312" w:hAnsi="仿宋_GB2312" w:eastAsia="仿宋_GB2312" w:cs="仿宋_GB2312"/>
              </w:rPr>
            </w:pPr>
          </w:p>
        </w:tc>
        <w:tc>
          <w:tcPr>
            <w:tcW w:w="1114" w:type="dxa"/>
            <w:tcBorders>
              <w:top w:val="nil"/>
              <w:left w:val="single" w:color="auto" w:sz="6" w:space="0"/>
              <w:bottom w:val="single" w:color="auto" w:sz="6" w:space="0"/>
              <w:right w:val="single" w:color="auto" w:sz="6" w:space="0"/>
            </w:tcBorders>
            <w:vAlign w:val="center"/>
          </w:tcPr>
          <w:p w14:paraId="770E9EE5">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文明办公</w:t>
            </w:r>
          </w:p>
          <w:p w14:paraId="7E8AB498">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12</w:t>
            </w:r>
            <w:r>
              <w:rPr>
                <w:rFonts w:hint="eastAsia" w:ascii="仿宋_GB2312" w:hAnsi="仿宋_GB2312" w:eastAsia="仿宋_GB2312" w:cs="仿宋_GB2312"/>
              </w:rPr>
              <w:t>分）</w:t>
            </w:r>
          </w:p>
        </w:tc>
        <w:tc>
          <w:tcPr>
            <w:tcW w:w="5756" w:type="dxa"/>
            <w:tcBorders>
              <w:top w:val="nil"/>
              <w:left w:val="single" w:color="auto" w:sz="6" w:space="0"/>
              <w:bottom w:val="single" w:color="auto" w:sz="6" w:space="0"/>
              <w:right w:val="single" w:color="auto" w:sz="6" w:space="0"/>
            </w:tcBorders>
            <w:vAlign w:val="center"/>
          </w:tcPr>
          <w:p w14:paraId="5A53FA17">
            <w:pPr>
              <w:spacing w:line="340" w:lineRule="exact"/>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服务态度：主动服务，热情服务得8分，因服务态度被投诉每次扣3分。</w:t>
            </w:r>
          </w:p>
          <w:p w14:paraId="21A9A8EC">
            <w:pPr>
              <w:spacing w:line="340" w:lineRule="exact"/>
              <w:jc w:val="left"/>
              <w:rPr>
                <w:rFonts w:hint="eastAsia" w:ascii="仿宋_GB2312" w:hAnsi="仿宋_GB2312" w:eastAsia="仿宋_GB2312" w:cs="仿宋_GB2312"/>
              </w:rPr>
            </w:pPr>
            <w:r>
              <w:rPr>
                <w:rFonts w:hint="eastAsia" w:ascii="仿宋_GB2312" w:hAnsi="仿宋_GB2312" w:eastAsia="仿宋_GB2312" w:cs="仿宋_GB2312"/>
              </w:rPr>
              <w:t>定期检查办公室设备、配合相关部门隐患排查、消防培训及演习，保证办公安全（4分）</w:t>
            </w:r>
          </w:p>
          <w:p w14:paraId="3AF8F055">
            <w:pPr>
              <w:spacing w:line="340" w:lineRule="exact"/>
              <w:jc w:val="left"/>
              <w:rPr>
                <w:rFonts w:hint="eastAsia" w:ascii="仿宋_GB2312" w:hAnsi="仿宋_GB2312" w:eastAsia="仿宋_GB2312" w:cs="仿宋_GB2312"/>
              </w:rPr>
            </w:pPr>
            <w:r>
              <w:rPr>
                <w:rFonts w:hint="eastAsia" w:ascii="仿宋_GB2312" w:hAnsi="仿宋_GB2312" w:eastAsia="仿宋_GB2312" w:cs="仿宋_GB2312"/>
              </w:rPr>
              <w:t>保证办公室卫生、桌面整洁、垃圾日常清理，保持公共区域清洁（4分）</w:t>
            </w:r>
          </w:p>
          <w:p w14:paraId="7D64CA14">
            <w:pPr>
              <w:spacing w:line="340" w:lineRule="exact"/>
              <w:jc w:val="left"/>
              <w:rPr>
                <w:rFonts w:hint="eastAsia" w:ascii="仿宋_GB2312" w:hAnsi="仿宋_GB2312" w:eastAsia="仿宋_GB2312" w:cs="仿宋_GB2312"/>
              </w:rPr>
            </w:pPr>
            <w:r>
              <w:rPr>
                <w:rFonts w:hint="eastAsia" w:ascii="仿宋_GB2312" w:hAnsi="仿宋_GB2312" w:eastAsia="仿宋_GB2312" w:cs="仿宋_GB2312"/>
              </w:rPr>
              <w:t>节约用水用电，及时关闭水龙头，下班及时关闭各类设备电源（4分）</w:t>
            </w:r>
          </w:p>
        </w:tc>
        <w:tc>
          <w:tcPr>
            <w:tcW w:w="1305" w:type="dxa"/>
            <w:tcBorders>
              <w:top w:val="nil"/>
              <w:left w:val="single" w:color="auto" w:sz="6" w:space="0"/>
              <w:bottom w:val="single" w:color="auto" w:sz="6" w:space="0"/>
              <w:right w:val="single" w:color="auto" w:sz="6" w:space="0"/>
            </w:tcBorders>
            <w:vAlign w:val="center"/>
          </w:tcPr>
          <w:p w14:paraId="4AF6C4BC">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0</w:t>
            </w:r>
            <w:r>
              <w:rPr>
                <w:rFonts w:hint="eastAsia" w:ascii="仿宋_GB2312" w:hAnsi="仿宋_GB2312" w:eastAsia="仿宋_GB2312" w:cs="仿宋_GB2312"/>
              </w:rPr>
              <w:t>～</w:t>
            </w:r>
            <w:r>
              <w:rPr>
                <w:rFonts w:hint="eastAsia" w:ascii="Times New Roman" w:hAnsi="Times New Roman" w:eastAsia="仿宋_GB2312" w:cs="仿宋_GB2312"/>
                <w:lang w:val="en-US" w:eastAsia="zh-CN"/>
              </w:rPr>
              <w:t>20</w:t>
            </w:r>
            <w:r>
              <w:rPr>
                <w:rFonts w:hint="eastAsia" w:ascii="仿宋_GB2312" w:hAnsi="仿宋_GB2312" w:eastAsia="仿宋_GB2312" w:cs="仿宋_GB2312"/>
              </w:rPr>
              <w:t>分</w:t>
            </w:r>
          </w:p>
        </w:tc>
      </w:tr>
      <w:tr w14:paraId="022FD655">
        <w:tblPrEx>
          <w:tblCellMar>
            <w:top w:w="0" w:type="dxa"/>
            <w:left w:w="0" w:type="dxa"/>
            <w:bottom w:w="0" w:type="dxa"/>
            <w:right w:w="0" w:type="dxa"/>
          </w:tblCellMar>
        </w:tblPrEx>
        <w:trPr>
          <w:trHeight w:val="90" w:hRule="atLeast"/>
          <w:jc w:val="center"/>
        </w:trPr>
        <w:tc>
          <w:tcPr>
            <w:tcW w:w="900" w:type="dxa"/>
            <w:vMerge w:val="restart"/>
            <w:tcBorders>
              <w:top w:val="nil"/>
              <w:left w:val="single" w:color="auto" w:sz="6" w:space="0"/>
              <w:bottom w:val="single" w:color="auto" w:sz="6" w:space="0"/>
              <w:right w:val="single" w:color="auto" w:sz="6" w:space="0"/>
            </w:tcBorders>
            <w:vAlign w:val="center"/>
          </w:tcPr>
          <w:p w14:paraId="49CBC923">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加分项</w:t>
            </w:r>
          </w:p>
          <w:p w14:paraId="29BCCAB4">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10</w:t>
            </w:r>
            <w:r>
              <w:rPr>
                <w:rFonts w:hint="eastAsia" w:ascii="仿宋_GB2312" w:hAnsi="仿宋_GB2312" w:eastAsia="仿宋_GB2312" w:cs="仿宋_GB2312"/>
              </w:rPr>
              <w:t>分）</w:t>
            </w:r>
          </w:p>
        </w:tc>
        <w:tc>
          <w:tcPr>
            <w:tcW w:w="1114" w:type="dxa"/>
            <w:tcBorders>
              <w:top w:val="nil"/>
              <w:left w:val="single" w:color="auto" w:sz="6" w:space="0"/>
              <w:bottom w:val="single" w:color="auto" w:sz="6" w:space="0"/>
              <w:right w:val="single" w:color="auto" w:sz="6" w:space="0"/>
            </w:tcBorders>
            <w:vAlign w:val="center"/>
          </w:tcPr>
          <w:p w14:paraId="301E9975">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人才引进</w:t>
            </w:r>
          </w:p>
        </w:tc>
        <w:tc>
          <w:tcPr>
            <w:tcW w:w="5756" w:type="dxa"/>
            <w:tcBorders>
              <w:top w:val="nil"/>
              <w:left w:val="single" w:color="auto" w:sz="6" w:space="0"/>
              <w:bottom w:val="single" w:color="auto" w:sz="6" w:space="0"/>
              <w:right w:val="single" w:color="auto" w:sz="6" w:space="0"/>
            </w:tcBorders>
            <w:vAlign w:val="center"/>
          </w:tcPr>
          <w:p w14:paraId="07E757EE">
            <w:pPr>
              <w:spacing w:line="340" w:lineRule="exact"/>
              <w:jc w:val="left"/>
              <w:rPr>
                <w:rFonts w:hint="eastAsia" w:ascii="仿宋_GB2312" w:hAnsi="仿宋_GB2312" w:eastAsia="仿宋_GB2312" w:cs="仿宋_GB2312"/>
              </w:rPr>
            </w:pPr>
            <w:r>
              <w:rPr>
                <w:rFonts w:hint="eastAsia" w:ascii="仿宋_GB2312" w:hAnsi="仿宋_GB2312" w:eastAsia="仿宋_GB2312" w:cs="仿宋_GB2312"/>
              </w:rPr>
              <w:t>每引进一名博士加</w:t>
            </w:r>
            <w:r>
              <w:rPr>
                <w:rFonts w:hint="eastAsia" w:ascii="Times New Roman" w:hAnsi="Times New Roman" w:eastAsia="仿宋_GB2312" w:cs="仿宋_GB2312"/>
              </w:rPr>
              <w:t>5</w:t>
            </w:r>
            <w:r>
              <w:rPr>
                <w:rFonts w:hint="eastAsia" w:ascii="仿宋_GB2312" w:hAnsi="仿宋_GB2312" w:eastAsia="仿宋_GB2312" w:cs="仿宋_GB2312"/>
              </w:rPr>
              <w:t>分、硕士研究生、正副高及其他紧缺人才加</w:t>
            </w:r>
            <w:r>
              <w:rPr>
                <w:rFonts w:hint="eastAsia" w:ascii="Times New Roman" w:hAnsi="Times New Roman" w:eastAsia="仿宋_GB2312" w:cs="仿宋_GB2312"/>
              </w:rPr>
              <w:t>3</w:t>
            </w:r>
            <w:r>
              <w:rPr>
                <w:rFonts w:hint="eastAsia" w:ascii="仿宋_GB2312" w:hAnsi="仿宋_GB2312" w:eastAsia="仿宋_GB2312" w:cs="仿宋_GB2312"/>
              </w:rPr>
              <w:t>分，引进本科生加</w:t>
            </w:r>
            <w:r>
              <w:rPr>
                <w:rFonts w:hint="eastAsia" w:ascii="Times New Roman" w:hAnsi="Times New Roman" w:eastAsia="仿宋_GB2312" w:cs="仿宋_GB2312"/>
              </w:rPr>
              <w:t>2</w:t>
            </w:r>
            <w:r>
              <w:rPr>
                <w:rFonts w:hint="eastAsia" w:ascii="仿宋_GB2312" w:hAnsi="仿宋_GB2312" w:eastAsia="仿宋_GB2312" w:cs="仿宋_GB2312"/>
              </w:rPr>
              <w:t>分</w:t>
            </w:r>
          </w:p>
        </w:tc>
        <w:tc>
          <w:tcPr>
            <w:tcW w:w="1305" w:type="dxa"/>
            <w:tcBorders>
              <w:top w:val="nil"/>
              <w:left w:val="single" w:color="auto" w:sz="6" w:space="0"/>
              <w:bottom w:val="single" w:color="auto" w:sz="6" w:space="0"/>
              <w:right w:val="single" w:color="auto" w:sz="6" w:space="0"/>
            </w:tcBorders>
            <w:vAlign w:val="center"/>
          </w:tcPr>
          <w:p w14:paraId="326D4247">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5</w:t>
            </w:r>
            <w:r>
              <w:rPr>
                <w:rFonts w:hint="eastAsia" w:ascii="仿宋_GB2312" w:hAnsi="仿宋_GB2312" w:eastAsia="仿宋_GB2312" w:cs="仿宋_GB2312"/>
              </w:rPr>
              <w:t>分</w:t>
            </w:r>
          </w:p>
        </w:tc>
      </w:tr>
      <w:tr w14:paraId="4905A90D">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6" w:space="0"/>
              <w:bottom w:val="single" w:color="auto" w:sz="6" w:space="0"/>
              <w:right w:val="single" w:color="auto" w:sz="6" w:space="0"/>
            </w:tcBorders>
            <w:vAlign w:val="center"/>
          </w:tcPr>
          <w:p w14:paraId="12365AA2">
            <w:pPr>
              <w:spacing w:line="340" w:lineRule="exact"/>
              <w:jc w:val="center"/>
              <w:rPr>
                <w:rFonts w:hint="eastAsia" w:ascii="仿宋_GB2312" w:hAnsi="仿宋_GB2312" w:eastAsia="仿宋_GB2312" w:cs="仿宋_GB2312"/>
              </w:rPr>
            </w:pPr>
          </w:p>
        </w:tc>
        <w:tc>
          <w:tcPr>
            <w:tcW w:w="1114" w:type="dxa"/>
            <w:tcBorders>
              <w:top w:val="nil"/>
              <w:left w:val="single" w:color="auto" w:sz="6" w:space="0"/>
              <w:bottom w:val="single" w:color="auto" w:sz="6" w:space="0"/>
              <w:right w:val="single" w:color="auto" w:sz="6" w:space="0"/>
            </w:tcBorders>
            <w:vAlign w:val="center"/>
          </w:tcPr>
          <w:p w14:paraId="37029EB8">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荣誉资质</w:t>
            </w:r>
          </w:p>
        </w:tc>
        <w:tc>
          <w:tcPr>
            <w:tcW w:w="5756" w:type="dxa"/>
            <w:tcBorders>
              <w:top w:val="nil"/>
              <w:left w:val="single" w:color="auto" w:sz="6" w:space="0"/>
              <w:bottom w:val="single" w:color="auto" w:sz="6" w:space="0"/>
              <w:right w:val="single" w:color="auto" w:sz="6" w:space="0"/>
            </w:tcBorders>
            <w:vAlign w:val="center"/>
          </w:tcPr>
          <w:p w14:paraId="45D2AE32">
            <w:pPr>
              <w:spacing w:line="340" w:lineRule="exact"/>
              <w:jc w:val="left"/>
              <w:rPr>
                <w:rFonts w:hint="eastAsia" w:ascii="仿宋_GB2312" w:hAnsi="仿宋_GB2312" w:eastAsia="仿宋_GB2312" w:cs="仿宋_GB2312"/>
              </w:rPr>
            </w:pPr>
            <w:r>
              <w:rPr>
                <w:rFonts w:hint="eastAsia" w:ascii="仿宋_GB2312" w:hAnsi="仿宋_GB2312" w:eastAsia="仿宋_GB2312" w:cs="仿宋_GB2312"/>
              </w:rPr>
              <w:t>获得国家级荣誉加</w:t>
            </w:r>
            <w:r>
              <w:rPr>
                <w:rFonts w:hint="eastAsia" w:ascii="Times New Roman" w:hAnsi="Times New Roman" w:eastAsia="仿宋_GB2312" w:cs="仿宋_GB2312"/>
              </w:rPr>
              <w:t>5</w:t>
            </w:r>
            <w:r>
              <w:rPr>
                <w:rFonts w:hint="eastAsia" w:ascii="仿宋_GB2312" w:hAnsi="仿宋_GB2312" w:eastAsia="仿宋_GB2312" w:cs="仿宋_GB2312"/>
              </w:rPr>
              <w:t>分、省级荣誉加</w:t>
            </w:r>
            <w:r>
              <w:rPr>
                <w:rFonts w:hint="eastAsia" w:ascii="Times New Roman" w:hAnsi="Times New Roman" w:eastAsia="仿宋_GB2312" w:cs="仿宋_GB2312"/>
              </w:rPr>
              <w:t>3</w:t>
            </w:r>
            <w:r>
              <w:rPr>
                <w:rFonts w:hint="eastAsia" w:ascii="仿宋_GB2312" w:hAnsi="仿宋_GB2312" w:eastAsia="仿宋_GB2312" w:cs="仿宋_GB2312"/>
              </w:rPr>
              <w:t>分、市级荣誉加</w:t>
            </w:r>
            <w:r>
              <w:rPr>
                <w:rFonts w:hint="eastAsia" w:ascii="Times New Roman" w:hAnsi="Times New Roman" w:eastAsia="仿宋_GB2312" w:cs="仿宋_GB2312"/>
              </w:rPr>
              <w:t>2</w:t>
            </w:r>
            <w:r>
              <w:rPr>
                <w:rFonts w:hint="eastAsia" w:ascii="仿宋_GB2312" w:hAnsi="仿宋_GB2312" w:eastAsia="仿宋_GB2312" w:cs="仿宋_GB2312"/>
              </w:rPr>
              <w:t>分、县级荣誉加</w:t>
            </w:r>
            <w:r>
              <w:rPr>
                <w:rFonts w:hint="eastAsia" w:ascii="Times New Roman" w:hAnsi="Times New Roman" w:eastAsia="仿宋_GB2312" w:cs="仿宋_GB2312"/>
              </w:rPr>
              <w:t>1</w:t>
            </w:r>
            <w:r>
              <w:rPr>
                <w:rFonts w:hint="eastAsia" w:ascii="仿宋_GB2312" w:hAnsi="仿宋_GB2312" w:eastAsia="仿宋_GB2312" w:cs="仿宋_GB2312"/>
              </w:rPr>
              <w:t>分</w:t>
            </w:r>
          </w:p>
        </w:tc>
        <w:tc>
          <w:tcPr>
            <w:tcW w:w="1305" w:type="dxa"/>
            <w:tcBorders>
              <w:top w:val="nil"/>
              <w:left w:val="single" w:color="auto" w:sz="6" w:space="0"/>
              <w:bottom w:val="single" w:color="auto" w:sz="6" w:space="0"/>
              <w:right w:val="single" w:color="auto" w:sz="6" w:space="0"/>
            </w:tcBorders>
            <w:vAlign w:val="center"/>
          </w:tcPr>
          <w:p w14:paraId="32F5AA6E">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5</w:t>
            </w:r>
            <w:r>
              <w:rPr>
                <w:rFonts w:hint="eastAsia" w:ascii="仿宋_GB2312" w:hAnsi="仿宋_GB2312" w:eastAsia="仿宋_GB2312" w:cs="仿宋_GB2312"/>
              </w:rPr>
              <w:t>分</w:t>
            </w:r>
          </w:p>
        </w:tc>
      </w:tr>
      <w:tr w14:paraId="20CA5026">
        <w:tblPrEx>
          <w:tblCellMar>
            <w:top w:w="0" w:type="dxa"/>
            <w:left w:w="0" w:type="dxa"/>
            <w:bottom w:w="0" w:type="dxa"/>
            <w:right w:w="0" w:type="dxa"/>
          </w:tblCellMar>
        </w:tblPrEx>
        <w:trPr>
          <w:trHeight w:val="90" w:hRule="atLeast"/>
          <w:jc w:val="center"/>
        </w:trPr>
        <w:tc>
          <w:tcPr>
            <w:tcW w:w="900" w:type="dxa"/>
            <w:vMerge w:val="restart"/>
            <w:tcBorders>
              <w:top w:val="nil"/>
              <w:left w:val="single" w:color="auto" w:sz="6" w:space="0"/>
              <w:bottom w:val="single" w:color="auto" w:sz="6" w:space="0"/>
              <w:right w:val="single" w:color="auto" w:sz="6" w:space="0"/>
            </w:tcBorders>
            <w:vAlign w:val="center"/>
          </w:tcPr>
          <w:p w14:paraId="73CBA893">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扣分项</w:t>
            </w:r>
          </w:p>
          <w:p w14:paraId="718717D4">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10</w:t>
            </w:r>
            <w:r>
              <w:rPr>
                <w:rFonts w:hint="eastAsia" w:ascii="仿宋_GB2312" w:hAnsi="仿宋_GB2312" w:eastAsia="仿宋_GB2312" w:cs="仿宋_GB2312"/>
              </w:rPr>
              <w:t>分）</w:t>
            </w:r>
          </w:p>
        </w:tc>
        <w:tc>
          <w:tcPr>
            <w:tcW w:w="1114" w:type="dxa"/>
            <w:tcBorders>
              <w:top w:val="nil"/>
              <w:left w:val="single" w:color="auto" w:sz="6" w:space="0"/>
              <w:bottom w:val="single" w:color="auto" w:sz="6" w:space="0"/>
              <w:right w:val="single" w:color="auto" w:sz="6" w:space="0"/>
            </w:tcBorders>
            <w:vAlign w:val="center"/>
          </w:tcPr>
          <w:p w14:paraId="746E8EEE">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影响声誉</w:t>
            </w:r>
          </w:p>
        </w:tc>
        <w:tc>
          <w:tcPr>
            <w:tcW w:w="5756" w:type="dxa"/>
            <w:tcBorders>
              <w:top w:val="nil"/>
              <w:left w:val="single" w:color="auto" w:sz="6" w:space="0"/>
              <w:bottom w:val="single" w:color="auto" w:sz="6" w:space="0"/>
              <w:right w:val="single" w:color="auto" w:sz="6" w:space="0"/>
            </w:tcBorders>
            <w:vAlign w:val="center"/>
          </w:tcPr>
          <w:p w14:paraId="40C89596">
            <w:pPr>
              <w:spacing w:line="340" w:lineRule="exact"/>
              <w:jc w:val="left"/>
              <w:rPr>
                <w:rFonts w:hint="eastAsia" w:ascii="仿宋_GB2312" w:hAnsi="仿宋_GB2312" w:eastAsia="仿宋_GB2312" w:cs="仿宋_GB2312"/>
              </w:rPr>
            </w:pPr>
            <w:r>
              <w:rPr>
                <w:rFonts w:hint="eastAsia" w:ascii="仿宋_GB2312" w:hAnsi="仿宋_GB2312" w:eastAsia="仿宋_GB2312" w:cs="仿宋_GB2312"/>
              </w:rPr>
              <w:t>业务不规范，受到税务、工商或相关主管部门通报，运营期间造成不良舆情影响（每出现</w:t>
            </w:r>
            <w:r>
              <w:rPr>
                <w:rFonts w:hint="eastAsia" w:ascii="Times New Roman" w:hAnsi="Times New Roman" w:eastAsia="仿宋_GB2312" w:cs="仿宋_GB2312"/>
              </w:rPr>
              <w:t>1</w:t>
            </w:r>
            <w:r>
              <w:rPr>
                <w:rFonts w:hint="eastAsia" w:ascii="仿宋_GB2312" w:hAnsi="仿宋_GB2312" w:eastAsia="仿宋_GB2312" w:cs="仿宋_GB2312"/>
              </w:rPr>
              <w:t>例扣</w:t>
            </w:r>
            <w:r>
              <w:rPr>
                <w:rFonts w:hint="eastAsia" w:ascii="Times New Roman" w:hAnsi="Times New Roman" w:eastAsia="仿宋_GB2312" w:cs="仿宋_GB2312"/>
              </w:rPr>
              <w:t>5</w:t>
            </w:r>
            <w:r>
              <w:rPr>
                <w:rFonts w:hint="eastAsia" w:ascii="仿宋_GB2312" w:hAnsi="仿宋_GB2312" w:eastAsia="仿宋_GB2312" w:cs="仿宋_GB2312"/>
              </w:rPr>
              <w:t>分）</w:t>
            </w:r>
          </w:p>
        </w:tc>
        <w:tc>
          <w:tcPr>
            <w:tcW w:w="1305" w:type="dxa"/>
            <w:tcBorders>
              <w:top w:val="nil"/>
              <w:left w:val="single" w:color="auto" w:sz="6" w:space="0"/>
              <w:bottom w:val="single" w:color="auto" w:sz="6" w:space="0"/>
              <w:right w:val="single" w:color="auto" w:sz="6" w:space="0"/>
            </w:tcBorders>
            <w:vAlign w:val="center"/>
          </w:tcPr>
          <w:p w14:paraId="4BBEE1F0">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5</w:t>
            </w:r>
            <w:r>
              <w:rPr>
                <w:rFonts w:hint="eastAsia" w:ascii="仿宋_GB2312" w:hAnsi="仿宋_GB2312" w:eastAsia="仿宋_GB2312" w:cs="仿宋_GB2312"/>
              </w:rPr>
              <w:t>分</w:t>
            </w:r>
          </w:p>
        </w:tc>
      </w:tr>
      <w:tr w14:paraId="51B31EE6">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6" w:space="0"/>
              <w:bottom w:val="single" w:color="auto" w:sz="6" w:space="0"/>
              <w:right w:val="single" w:color="auto" w:sz="6" w:space="0"/>
            </w:tcBorders>
            <w:vAlign w:val="center"/>
          </w:tcPr>
          <w:p w14:paraId="18597ED9">
            <w:pPr>
              <w:spacing w:line="340" w:lineRule="exact"/>
              <w:jc w:val="center"/>
              <w:rPr>
                <w:rFonts w:hint="eastAsia" w:ascii="仿宋_GB2312" w:hAnsi="仿宋_GB2312" w:eastAsia="仿宋_GB2312" w:cs="仿宋_GB2312"/>
              </w:rPr>
            </w:pPr>
          </w:p>
        </w:tc>
        <w:tc>
          <w:tcPr>
            <w:tcW w:w="1114" w:type="dxa"/>
            <w:tcBorders>
              <w:top w:val="nil"/>
              <w:left w:val="single" w:color="auto" w:sz="6" w:space="0"/>
              <w:bottom w:val="single" w:color="auto" w:sz="6" w:space="0"/>
              <w:right w:val="single" w:color="auto" w:sz="6" w:space="0"/>
            </w:tcBorders>
            <w:vAlign w:val="center"/>
          </w:tcPr>
          <w:p w14:paraId="04A0D33F">
            <w:pPr>
              <w:spacing w:line="340" w:lineRule="exact"/>
              <w:jc w:val="center"/>
              <w:rPr>
                <w:rFonts w:hint="eastAsia" w:ascii="仿宋_GB2312" w:hAnsi="仿宋_GB2312" w:eastAsia="仿宋_GB2312" w:cs="仿宋_GB2312"/>
              </w:rPr>
            </w:pPr>
            <w:r>
              <w:rPr>
                <w:rFonts w:hint="eastAsia" w:ascii="仿宋_GB2312" w:hAnsi="仿宋_GB2312" w:eastAsia="仿宋_GB2312" w:cs="仿宋_GB2312"/>
              </w:rPr>
              <w:t>违反规定</w:t>
            </w:r>
          </w:p>
        </w:tc>
        <w:tc>
          <w:tcPr>
            <w:tcW w:w="5756" w:type="dxa"/>
            <w:tcBorders>
              <w:top w:val="nil"/>
              <w:left w:val="single" w:color="auto" w:sz="6" w:space="0"/>
              <w:bottom w:val="single" w:color="auto" w:sz="6" w:space="0"/>
              <w:right w:val="single" w:color="auto" w:sz="6" w:space="0"/>
            </w:tcBorders>
            <w:vAlign w:val="center"/>
          </w:tcPr>
          <w:p w14:paraId="2D3E2A90">
            <w:pPr>
              <w:spacing w:line="340" w:lineRule="exact"/>
              <w:jc w:val="left"/>
              <w:rPr>
                <w:rFonts w:hint="eastAsia" w:ascii="仿宋_GB2312" w:hAnsi="仿宋_GB2312" w:eastAsia="仿宋_GB2312" w:cs="仿宋_GB2312"/>
              </w:rPr>
            </w:pPr>
            <w:r>
              <w:rPr>
                <w:rFonts w:hint="eastAsia" w:ascii="仿宋_GB2312" w:hAnsi="仿宋_GB2312" w:eastAsia="仿宋_GB2312" w:cs="仿宋_GB2312"/>
              </w:rPr>
              <w:t>违反产业园管理规定，使用公共设施不规范，经劝解仍无法改善（每出现</w:t>
            </w:r>
            <w:r>
              <w:rPr>
                <w:rFonts w:hint="eastAsia" w:ascii="Times New Roman" w:hAnsi="Times New Roman" w:eastAsia="仿宋_GB2312" w:cs="仿宋_GB2312"/>
              </w:rPr>
              <w:t>1</w:t>
            </w:r>
            <w:r>
              <w:rPr>
                <w:rFonts w:hint="eastAsia" w:ascii="仿宋_GB2312" w:hAnsi="仿宋_GB2312" w:eastAsia="仿宋_GB2312" w:cs="仿宋_GB2312"/>
              </w:rPr>
              <w:t>例扣</w:t>
            </w:r>
            <w:r>
              <w:rPr>
                <w:rFonts w:hint="eastAsia" w:ascii="Times New Roman" w:hAnsi="Times New Roman" w:eastAsia="仿宋_GB2312" w:cs="仿宋_GB2312"/>
              </w:rPr>
              <w:t>5</w:t>
            </w:r>
            <w:r>
              <w:rPr>
                <w:rFonts w:hint="eastAsia" w:ascii="仿宋_GB2312" w:hAnsi="仿宋_GB2312" w:eastAsia="仿宋_GB2312" w:cs="仿宋_GB2312"/>
              </w:rPr>
              <w:t>分）</w:t>
            </w:r>
          </w:p>
        </w:tc>
        <w:tc>
          <w:tcPr>
            <w:tcW w:w="1305" w:type="dxa"/>
            <w:tcBorders>
              <w:top w:val="nil"/>
              <w:left w:val="single" w:color="auto" w:sz="6" w:space="0"/>
              <w:bottom w:val="single" w:color="auto" w:sz="6" w:space="0"/>
              <w:right w:val="single" w:color="auto" w:sz="6" w:space="0"/>
            </w:tcBorders>
            <w:vAlign w:val="center"/>
          </w:tcPr>
          <w:p w14:paraId="4231F18E">
            <w:pPr>
              <w:spacing w:line="340" w:lineRule="exact"/>
              <w:jc w:val="center"/>
              <w:rPr>
                <w:rFonts w:hint="eastAsia" w:ascii="仿宋_GB2312" w:hAnsi="仿宋_GB2312" w:eastAsia="仿宋_GB2312" w:cs="仿宋_GB2312"/>
              </w:rPr>
            </w:pPr>
            <w:r>
              <w:rPr>
                <w:rFonts w:hint="eastAsia" w:ascii="Times New Roman" w:hAnsi="Times New Roman" w:eastAsia="仿宋_GB2312" w:cs="仿宋_GB2312"/>
              </w:rPr>
              <w:t>5</w:t>
            </w:r>
            <w:r>
              <w:rPr>
                <w:rFonts w:hint="eastAsia" w:ascii="仿宋_GB2312" w:hAnsi="仿宋_GB2312" w:eastAsia="仿宋_GB2312" w:cs="仿宋_GB2312"/>
              </w:rPr>
              <w:t>分</w:t>
            </w:r>
          </w:p>
        </w:tc>
      </w:tr>
    </w:tbl>
    <w:p w14:paraId="02A6602A">
      <w:pPr>
        <w:spacing w:line="540" w:lineRule="exact"/>
        <w:rPr>
          <w:rFonts w:hint="eastAsia"/>
          <w:b/>
          <w:bCs/>
        </w:rPr>
      </w:pPr>
    </w:p>
    <w:sectPr>
      <w:headerReference r:id="rId4" w:type="first"/>
      <w:footerReference r:id="rId7" w:type="first"/>
      <w:footerReference r:id="rId5" w:type="default"/>
      <w:headerReference r:id="rId3" w:type="even"/>
      <w:footerReference r:id="rId6" w:type="even"/>
      <w:pgSz w:w="11906" w:h="16838"/>
      <w:pgMar w:top="1417" w:right="1474"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0CD50">
    <w:pPr>
      <w:pStyle w:val="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29486">
                          <w:pPr>
                            <w:pStyle w:val="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429486">
                    <w:pPr>
                      <w:pStyle w:val="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14:paraId="069FF9D3">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2049">
    <w:pPr>
      <w:pStyle w:val="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9866A">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13FDA">
    <w:pPr>
      <w:pStyle w:val="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FA95F">
    <w:pPr>
      <w:pStyle w:val="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kNDBhY2Y1OTIxYjAwMTVjOWJmNmYxZTEwNWM0YTAifQ=="/>
  </w:docVars>
  <w:rsids>
    <w:rsidRoot w:val="003108D1"/>
    <w:rsid w:val="00011153"/>
    <w:rsid w:val="00021F3E"/>
    <w:rsid w:val="000735DD"/>
    <w:rsid w:val="000869C1"/>
    <w:rsid w:val="00091DC4"/>
    <w:rsid w:val="000A6028"/>
    <w:rsid w:val="000D7E49"/>
    <w:rsid w:val="001173EC"/>
    <w:rsid w:val="00165D9A"/>
    <w:rsid w:val="001662BE"/>
    <w:rsid w:val="001A20C2"/>
    <w:rsid w:val="001E2106"/>
    <w:rsid w:val="002120EB"/>
    <w:rsid w:val="00233953"/>
    <w:rsid w:val="00236AC3"/>
    <w:rsid w:val="002626A9"/>
    <w:rsid w:val="002931CC"/>
    <w:rsid w:val="002B4ECC"/>
    <w:rsid w:val="002C54EE"/>
    <w:rsid w:val="002F77A0"/>
    <w:rsid w:val="003108D1"/>
    <w:rsid w:val="0031679D"/>
    <w:rsid w:val="00324102"/>
    <w:rsid w:val="0033333C"/>
    <w:rsid w:val="003A179F"/>
    <w:rsid w:val="003A64B0"/>
    <w:rsid w:val="003F6837"/>
    <w:rsid w:val="003F7C66"/>
    <w:rsid w:val="004111C1"/>
    <w:rsid w:val="0042569F"/>
    <w:rsid w:val="00437EB2"/>
    <w:rsid w:val="00480FF1"/>
    <w:rsid w:val="004925C1"/>
    <w:rsid w:val="00495A5B"/>
    <w:rsid w:val="005130BA"/>
    <w:rsid w:val="0053125C"/>
    <w:rsid w:val="0054144F"/>
    <w:rsid w:val="00561672"/>
    <w:rsid w:val="0056255F"/>
    <w:rsid w:val="005B694E"/>
    <w:rsid w:val="005D1DF0"/>
    <w:rsid w:val="005E6E9C"/>
    <w:rsid w:val="00630F4A"/>
    <w:rsid w:val="00662138"/>
    <w:rsid w:val="006B5837"/>
    <w:rsid w:val="006E1305"/>
    <w:rsid w:val="0071163A"/>
    <w:rsid w:val="00713351"/>
    <w:rsid w:val="00714E0A"/>
    <w:rsid w:val="007A0DDF"/>
    <w:rsid w:val="007A2D27"/>
    <w:rsid w:val="007A2FE0"/>
    <w:rsid w:val="007C1279"/>
    <w:rsid w:val="00815F3D"/>
    <w:rsid w:val="00842D57"/>
    <w:rsid w:val="00861C82"/>
    <w:rsid w:val="0087506D"/>
    <w:rsid w:val="008971A8"/>
    <w:rsid w:val="008C77AD"/>
    <w:rsid w:val="008F0223"/>
    <w:rsid w:val="008F31BD"/>
    <w:rsid w:val="00951C0F"/>
    <w:rsid w:val="009C66F0"/>
    <w:rsid w:val="00A04654"/>
    <w:rsid w:val="00A72A1C"/>
    <w:rsid w:val="00A83F44"/>
    <w:rsid w:val="00B107EB"/>
    <w:rsid w:val="00B24A1A"/>
    <w:rsid w:val="00B26C89"/>
    <w:rsid w:val="00BA5034"/>
    <w:rsid w:val="00BB2C16"/>
    <w:rsid w:val="00BF5D28"/>
    <w:rsid w:val="00C10459"/>
    <w:rsid w:val="00C24096"/>
    <w:rsid w:val="00C44219"/>
    <w:rsid w:val="00C939B6"/>
    <w:rsid w:val="00CC3998"/>
    <w:rsid w:val="00CC6A3B"/>
    <w:rsid w:val="00CD12FB"/>
    <w:rsid w:val="00CD515B"/>
    <w:rsid w:val="00D16188"/>
    <w:rsid w:val="00D72FCD"/>
    <w:rsid w:val="00D735A6"/>
    <w:rsid w:val="00DF6640"/>
    <w:rsid w:val="00E26413"/>
    <w:rsid w:val="00E5356B"/>
    <w:rsid w:val="00E8384C"/>
    <w:rsid w:val="00E856F6"/>
    <w:rsid w:val="00EA5677"/>
    <w:rsid w:val="00ED5E2C"/>
    <w:rsid w:val="00F02F02"/>
    <w:rsid w:val="00F42E04"/>
    <w:rsid w:val="00F4500D"/>
    <w:rsid w:val="00F6738C"/>
    <w:rsid w:val="00F93B27"/>
    <w:rsid w:val="00FC25F8"/>
    <w:rsid w:val="00FF529A"/>
    <w:rsid w:val="00FF6DFB"/>
    <w:rsid w:val="00FF788D"/>
    <w:rsid w:val="026537BC"/>
    <w:rsid w:val="051D02ED"/>
    <w:rsid w:val="05EF2602"/>
    <w:rsid w:val="066A4EB6"/>
    <w:rsid w:val="06C72058"/>
    <w:rsid w:val="06E8160B"/>
    <w:rsid w:val="074D3623"/>
    <w:rsid w:val="07794418"/>
    <w:rsid w:val="07BB67DE"/>
    <w:rsid w:val="095D5764"/>
    <w:rsid w:val="0BC35C62"/>
    <w:rsid w:val="0D843953"/>
    <w:rsid w:val="0D887163"/>
    <w:rsid w:val="143329EC"/>
    <w:rsid w:val="15837CCA"/>
    <w:rsid w:val="15B24C64"/>
    <w:rsid w:val="15C26F8A"/>
    <w:rsid w:val="167B081C"/>
    <w:rsid w:val="16EF1DD3"/>
    <w:rsid w:val="170D06D9"/>
    <w:rsid w:val="17E07B9B"/>
    <w:rsid w:val="17F453F5"/>
    <w:rsid w:val="18A24E51"/>
    <w:rsid w:val="18E65685"/>
    <w:rsid w:val="19C071A3"/>
    <w:rsid w:val="1A512FD2"/>
    <w:rsid w:val="1AF24391"/>
    <w:rsid w:val="1BB04B6D"/>
    <w:rsid w:val="1BF709F4"/>
    <w:rsid w:val="1F752D5E"/>
    <w:rsid w:val="1F953139"/>
    <w:rsid w:val="1FF46F7A"/>
    <w:rsid w:val="20F87D04"/>
    <w:rsid w:val="219736DC"/>
    <w:rsid w:val="239B4659"/>
    <w:rsid w:val="25ED530F"/>
    <w:rsid w:val="28745C63"/>
    <w:rsid w:val="294F2DD3"/>
    <w:rsid w:val="2BE27F2E"/>
    <w:rsid w:val="2C4F37A7"/>
    <w:rsid w:val="2D373BF5"/>
    <w:rsid w:val="2EDB54E0"/>
    <w:rsid w:val="2F343181"/>
    <w:rsid w:val="30887469"/>
    <w:rsid w:val="30AD5D49"/>
    <w:rsid w:val="312E53DA"/>
    <w:rsid w:val="34584243"/>
    <w:rsid w:val="35AB133E"/>
    <w:rsid w:val="36C75ABB"/>
    <w:rsid w:val="37C11952"/>
    <w:rsid w:val="37F04EF8"/>
    <w:rsid w:val="384B399F"/>
    <w:rsid w:val="38B720B6"/>
    <w:rsid w:val="38CC3E7B"/>
    <w:rsid w:val="39182C42"/>
    <w:rsid w:val="391F00CC"/>
    <w:rsid w:val="3A013B12"/>
    <w:rsid w:val="3A6F486B"/>
    <w:rsid w:val="3E0028BE"/>
    <w:rsid w:val="3EEE5831"/>
    <w:rsid w:val="3F0729AA"/>
    <w:rsid w:val="402F5C12"/>
    <w:rsid w:val="40890521"/>
    <w:rsid w:val="40EE65D6"/>
    <w:rsid w:val="41BA6927"/>
    <w:rsid w:val="43014CE6"/>
    <w:rsid w:val="43CC07A5"/>
    <w:rsid w:val="454F663A"/>
    <w:rsid w:val="456C2E92"/>
    <w:rsid w:val="46472CEE"/>
    <w:rsid w:val="46E666CD"/>
    <w:rsid w:val="470167BC"/>
    <w:rsid w:val="48530805"/>
    <w:rsid w:val="49D00DC5"/>
    <w:rsid w:val="4AE91781"/>
    <w:rsid w:val="4AFE2A2A"/>
    <w:rsid w:val="4B3552CE"/>
    <w:rsid w:val="4C2B40F8"/>
    <w:rsid w:val="4CA158AC"/>
    <w:rsid w:val="4DB7438A"/>
    <w:rsid w:val="4E0F6509"/>
    <w:rsid w:val="521011D2"/>
    <w:rsid w:val="533C0B4E"/>
    <w:rsid w:val="538E2997"/>
    <w:rsid w:val="53A21C52"/>
    <w:rsid w:val="53D31D87"/>
    <w:rsid w:val="53DE7D87"/>
    <w:rsid w:val="54B77022"/>
    <w:rsid w:val="56BA62F8"/>
    <w:rsid w:val="57A429DC"/>
    <w:rsid w:val="588871EF"/>
    <w:rsid w:val="5A283A74"/>
    <w:rsid w:val="5A643739"/>
    <w:rsid w:val="5BB42F5E"/>
    <w:rsid w:val="5BB51467"/>
    <w:rsid w:val="5C054352"/>
    <w:rsid w:val="5ED71496"/>
    <w:rsid w:val="5F223BC2"/>
    <w:rsid w:val="60D96503"/>
    <w:rsid w:val="61C37261"/>
    <w:rsid w:val="64122ADF"/>
    <w:rsid w:val="64D534D3"/>
    <w:rsid w:val="651B3563"/>
    <w:rsid w:val="65902411"/>
    <w:rsid w:val="65B25723"/>
    <w:rsid w:val="65CB0E8F"/>
    <w:rsid w:val="66BF52C6"/>
    <w:rsid w:val="67F73EEC"/>
    <w:rsid w:val="6AD60C43"/>
    <w:rsid w:val="6CC710B6"/>
    <w:rsid w:val="6CED7EDD"/>
    <w:rsid w:val="70643C03"/>
    <w:rsid w:val="74420232"/>
    <w:rsid w:val="755C08E8"/>
    <w:rsid w:val="76F853F3"/>
    <w:rsid w:val="77D06AAB"/>
    <w:rsid w:val="7AE30252"/>
    <w:rsid w:val="7B6C2705"/>
    <w:rsid w:val="7B8052D1"/>
    <w:rsid w:val="7E980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字符"/>
    <w:basedOn w:val="8"/>
    <w:link w:val="2"/>
    <w:semiHidden/>
    <w:qFormat/>
    <w:uiPriority w:val="99"/>
    <w:rPr>
      <w:sz w:val="21"/>
      <w14:ligatures w14:val="none"/>
    </w:rPr>
  </w:style>
  <w:style w:type="character" w:customStyle="1" w:styleId="10">
    <w:name w:val="页眉 字符"/>
    <w:basedOn w:val="8"/>
    <w:link w:val="4"/>
    <w:qFormat/>
    <w:uiPriority w:val="99"/>
    <w:rPr>
      <w:rFonts w:asciiTheme="minorHAnsi" w:hAnsiTheme="minorHAnsi" w:eastAsiaTheme="minorEastAsia" w:cstheme="minorBidi"/>
      <w:kern w:val="2"/>
      <w:sz w:val="18"/>
      <w:szCs w:val="18"/>
    </w:rPr>
  </w:style>
  <w:style w:type="character" w:customStyle="1" w:styleId="11">
    <w:name w:val="页脚 字符"/>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5768</Words>
  <Characters>5843</Characters>
  <Lines>50</Lines>
  <Paragraphs>14</Paragraphs>
  <TotalTime>66</TotalTime>
  <ScaleCrop>false</ScaleCrop>
  <LinksUpToDate>false</LinksUpToDate>
  <CharactersWithSpaces>6261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2024-11-24T08:00:00Z</dcterms:created>
  <dc:creator>多多 田</dc:creator>
  <cp:lastModifiedBy>WPS_1670375142</cp:lastModifiedBy>
  <dcterms:modified xsi:type="dcterms:W3CDTF">2025-11-25T09:53:11Z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0D877F56C5134D23B04976AEA2A19238_13</vt:lpwstr>
  </property>
  <property fmtid="{D5CDD505-2E9C-101B-9397-08002B2CF9AE}" pid="4" name="KSOTemplateDocerSaveRecord">
    <vt:lpwstr>eyJoZGlkIjoiM2I3NTAzMzc1Zjg3MmU3MjczODkwMGIyYTMxMjA4OGMiLCJ1c2VySWQiOiI0NjAwMzQxNjEifQ==</vt:lpwstr>
  </property>
</Properties>
</file>